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D8" w:rsidRPr="00DF17D5" w:rsidRDefault="00E652D8" w:rsidP="0051510E">
      <w:pPr>
        <w:ind w:firstLine="567"/>
        <w:jc w:val="center"/>
        <w:rPr>
          <w:sz w:val="32"/>
          <w:szCs w:val="32"/>
          <w:u w:val="single"/>
          <w:lang w:val="ru-RU"/>
        </w:rPr>
      </w:pPr>
      <w:proofErr w:type="spellStart"/>
      <w:r w:rsidRPr="00DF17D5">
        <w:rPr>
          <w:sz w:val="32"/>
          <w:szCs w:val="32"/>
          <w:u w:val="single"/>
          <w:lang w:val="ru-RU"/>
        </w:rPr>
        <w:t>Звіт</w:t>
      </w:r>
      <w:proofErr w:type="spellEnd"/>
      <w:r w:rsidRPr="00DF17D5">
        <w:rPr>
          <w:sz w:val="32"/>
          <w:szCs w:val="32"/>
          <w:u w:val="single"/>
          <w:lang w:val="ru-RU"/>
        </w:rPr>
        <w:t xml:space="preserve"> про </w:t>
      </w:r>
      <w:proofErr w:type="spellStart"/>
      <w:r w:rsidRPr="00DF17D5">
        <w:rPr>
          <w:sz w:val="32"/>
          <w:szCs w:val="32"/>
          <w:u w:val="single"/>
          <w:lang w:val="ru-RU"/>
        </w:rPr>
        <w:t>управління</w:t>
      </w:r>
      <w:proofErr w:type="spellEnd"/>
    </w:p>
    <w:p w:rsidR="00E652D8" w:rsidRPr="00DF17D5" w:rsidRDefault="00E652D8" w:rsidP="0051510E">
      <w:pPr>
        <w:ind w:firstLine="567"/>
        <w:jc w:val="center"/>
        <w:rPr>
          <w:sz w:val="32"/>
          <w:szCs w:val="32"/>
          <w:u w:val="single"/>
          <w:lang w:val="ru-RU"/>
        </w:rPr>
      </w:pPr>
      <w:r w:rsidRPr="00DF17D5">
        <w:rPr>
          <w:sz w:val="32"/>
          <w:szCs w:val="32"/>
          <w:u w:val="single"/>
          <w:lang w:val="ru-RU"/>
        </w:rPr>
        <w:t>ПТ «Ломбард «</w:t>
      </w:r>
      <w:proofErr w:type="spellStart"/>
      <w:r w:rsidRPr="00DF17D5">
        <w:rPr>
          <w:sz w:val="32"/>
          <w:szCs w:val="32"/>
          <w:u w:val="single"/>
          <w:lang w:val="ru-RU"/>
        </w:rPr>
        <w:t>Гарант-Черкаси</w:t>
      </w:r>
      <w:proofErr w:type="spellEnd"/>
      <w:r w:rsidRPr="00DF17D5">
        <w:rPr>
          <w:sz w:val="32"/>
          <w:szCs w:val="32"/>
          <w:u w:val="single"/>
          <w:lang w:val="ru-RU"/>
        </w:rPr>
        <w:t>» за 2023 р.</w:t>
      </w:r>
    </w:p>
    <w:p w:rsidR="00F86A2A" w:rsidRPr="0051510E" w:rsidRDefault="00D76D69" w:rsidP="0051510E">
      <w:pPr>
        <w:pStyle w:val="rvps6"/>
        <w:shd w:val="clear" w:color="auto" w:fill="FFFFFF"/>
        <w:spacing w:before="300" w:beforeAutospacing="0" w:after="120" w:afterAutospacing="0"/>
        <w:ind w:right="141" w:firstLine="567"/>
        <w:jc w:val="both"/>
        <w:rPr>
          <w:sz w:val="26"/>
          <w:szCs w:val="26"/>
          <w:lang w:val="uk-UA"/>
        </w:rPr>
      </w:pPr>
      <w:r w:rsidRPr="0051510E">
        <w:rPr>
          <w:sz w:val="26"/>
          <w:szCs w:val="26"/>
          <w:lang w:val="uk-UA"/>
        </w:rPr>
        <w:t>Звіт про управління ПТ «Ломбард «Гарант-Черкаси» за підсумками 2023р. складено відповідно до  вимог ст. 6, 11 Закону Укра</w:t>
      </w:r>
      <w:r w:rsidR="00DF17D5" w:rsidRPr="0051510E">
        <w:rPr>
          <w:sz w:val="26"/>
          <w:szCs w:val="26"/>
          <w:lang w:val="uk-UA"/>
        </w:rPr>
        <w:t>ї</w:t>
      </w:r>
      <w:r w:rsidRPr="0051510E">
        <w:rPr>
          <w:sz w:val="26"/>
          <w:szCs w:val="26"/>
          <w:lang w:val="uk-UA"/>
        </w:rPr>
        <w:t>ни «Про бухгалтерський облік та фінансову звітність в Україні» №996-</w:t>
      </w:r>
      <w:r w:rsidRPr="0051510E">
        <w:rPr>
          <w:sz w:val="26"/>
          <w:szCs w:val="26"/>
        </w:rPr>
        <w:t>XIV</w:t>
      </w:r>
      <w:r w:rsidRPr="0051510E">
        <w:rPr>
          <w:sz w:val="26"/>
          <w:szCs w:val="26"/>
          <w:lang w:val="uk-UA"/>
        </w:rPr>
        <w:t xml:space="preserve">, Наказу Міністерства фінансів України №982 від 07.12.2018 р. </w:t>
      </w:r>
      <w:r w:rsidR="00F86A2A" w:rsidRPr="0051510E">
        <w:rPr>
          <w:sz w:val="26"/>
          <w:szCs w:val="26"/>
          <w:lang w:val="uk-UA"/>
        </w:rPr>
        <w:t>«</w:t>
      </w:r>
      <w:r w:rsidRPr="0051510E">
        <w:rPr>
          <w:rStyle w:val="rvts23"/>
          <w:bCs/>
          <w:color w:val="000000"/>
          <w:sz w:val="26"/>
          <w:szCs w:val="26"/>
          <w:lang w:val="uk-UA"/>
        </w:rPr>
        <w:t>Про затвердження Методичних рекомендацій зі складання звіту про управління</w:t>
      </w:r>
      <w:r w:rsidR="00F86A2A" w:rsidRPr="0051510E">
        <w:rPr>
          <w:rStyle w:val="rvts23"/>
          <w:bCs/>
          <w:color w:val="000000"/>
          <w:sz w:val="26"/>
          <w:szCs w:val="26"/>
          <w:lang w:val="uk-UA"/>
        </w:rPr>
        <w:t>» і</w:t>
      </w:r>
      <w:r w:rsidR="00F86A2A" w:rsidRPr="0051510E">
        <w:rPr>
          <w:color w:val="000000"/>
          <w:sz w:val="26"/>
          <w:szCs w:val="26"/>
          <w:lang w:val="uk-UA"/>
        </w:rPr>
        <w:t>з змінами, внесеними згідно з Наказом Міністерства фінансів</w:t>
      </w:r>
      <w:r w:rsidR="00F86A2A" w:rsidRPr="0051510E">
        <w:rPr>
          <w:color w:val="000000"/>
          <w:sz w:val="26"/>
          <w:szCs w:val="26"/>
        </w:rPr>
        <w:t> </w:t>
      </w:r>
      <w:hyperlink r:id="rId5" w:anchor="n2" w:tgtFrame="_blank" w:history="1">
        <w:r w:rsidR="00F86A2A" w:rsidRPr="0051510E">
          <w:rPr>
            <w:rStyle w:val="a5"/>
            <w:color w:val="auto"/>
            <w:sz w:val="26"/>
            <w:szCs w:val="26"/>
            <w:u w:val="none"/>
            <w:lang w:val="uk-UA"/>
          </w:rPr>
          <w:t>№ 27 від 18.01.2019</w:t>
        </w:r>
      </w:hyperlink>
      <w:r w:rsidR="00F86A2A" w:rsidRPr="0051510E">
        <w:rPr>
          <w:sz w:val="26"/>
          <w:szCs w:val="26"/>
          <w:lang w:val="uk-UA"/>
        </w:rPr>
        <w:t xml:space="preserve"> р.</w:t>
      </w:r>
    </w:p>
    <w:p w:rsidR="00F86A2A" w:rsidRPr="0051510E" w:rsidRDefault="00F86A2A" w:rsidP="0051510E">
      <w:pPr>
        <w:pStyle w:val="rvps6"/>
        <w:shd w:val="clear" w:color="auto" w:fill="FFFFFF"/>
        <w:spacing w:before="120" w:beforeAutospacing="0" w:after="120" w:afterAutospacing="0"/>
        <w:ind w:right="141" w:firstLine="567"/>
        <w:jc w:val="both"/>
        <w:rPr>
          <w:sz w:val="26"/>
          <w:szCs w:val="26"/>
          <w:lang w:val="uk-UA"/>
        </w:rPr>
      </w:pPr>
      <w:r w:rsidRPr="0051510E">
        <w:rPr>
          <w:sz w:val="26"/>
          <w:szCs w:val="26"/>
          <w:lang w:val="uk-UA"/>
        </w:rPr>
        <w:t xml:space="preserve">     Звіт про управління  ПТ «Ломбард «Гарант-Черкаси» містить достовірну фінансову інформацію про Товариство, перспективи розвитку, показники діяльності  з посиланнями на дані фінансової звітності та додаткову інформацію, в тому числі соціального та екологічного характеру. </w:t>
      </w:r>
    </w:p>
    <w:p w:rsidR="00E652D8" w:rsidRPr="0051510E" w:rsidRDefault="00E652D8" w:rsidP="0051510E">
      <w:pPr>
        <w:ind w:firstLine="567"/>
        <w:jc w:val="both"/>
        <w:rPr>
          <w:sz w:val="26"/>
          <w:szCs w:val="26"/>
          <w:u w:val="single"/>
        </w:rPr>
      </w:pPr>
    </w:p>
    <w:p w:rsidR="00E06677" w:rsidRPr="0051510E" w:rsidRDefault="00E06677" w:rsidP="0051510E">
      <w:pPr>
        <w:ind w:firstLine="567"/>
        <w:jc w:val="both"/>
        <w:rPr>
          <w:sz w:val="26"/>
          <w:szCs w:val="26"/>
          <w:u w:val="single"/>
        </w:rPr>
      </w:pPr>
      <w:r w:rsidRPr="0051510E">
        <w:rPr>
          <w:sz w:val="26"/>
          <w:szCs w:val="26"/>
          <w:u w:val="single"/>
        </w:rPr>
        <w:t>Загальні відомості, організаційна структура та опис діяльності товариства</w:t>
      </w:r>
    </w:p>
    <w:p w:rsidR="00E06677" w:rsidRPr="0051510E" w:rsidRDefault="00E06677" w:rsidP="0051510E">
      <w:pPr>
        <w:ind w:firstLine="567"/>
        <w:jc w:val="both"/>
        <w:rPr>
          <w:sz w:val="26"/>
          <w:szCs w:val="26"/>
        </w:rPr>
      </w:pPr>
    </w:p>
    <w:p w:rsidR="00E06677" w:rsidRPr="0051510E" w:rsidRDefault="00E06677" w:rsidP="0051510E">
      <w:pPr>
        <w:ind w:firstLine="567"/>
        <w:jc w:val="both"/>
        <w:rPr>
          <w:sz w:val="26"/>
          <w:szCs w:val="26"/>
        </w:rPr>
      </w:pPr>
      <w:proofErr w:type="spellStart"/>
      <w:r w:rsidRPr="0051510E">
        <w:rPr>
          <w:sz w:val="26"/>
          <w:szCs w:val="26"/>
        </w:rPr>
        <w:t>ПТ</w:t>
      </w:r>
      <w:proofErr w:type="spellEnd"/>
      <w:r w:rsidRPr="0051510E">
        <w:rPr>
          <w:sz w:val="26"/>
          <w:szCs w:val="26"/>
        </w:rPr>
        <w:t xml:space="preserve">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E06677" w:rsidRPr="0051510E" w:rsidRDefault="00E06677" w:rsidP="0051510E">
      <w:pPr>
        <w:ind w:firstLine="567"/>
        <w:jc w:val="both"/>
        <w:rPr>
          <w:sz w:val="26"/>
          <w:szCs w:val="26"/>
        </w:rPr>
      </w:pPr>
      <w:r w:rsidRPr="0051510E">
        <w:rPr>
          <w:sz w:val="26"/>
          <w:szCs w:val="26"/>
        </w:rPr>
        <w:t>Код ЕДРПОУ 24349724.</w:t>
      </w:r>
    </w:p>
    <w:p w:rsidR="00E06677" w:rsidRPr="0051510E" w:rsidRDefault="00E06677" w:rsidP="0051510E">
      <w:pPr>
        <w:ind w:firstLine="567"/>
        <w:jc w:val="both"/>
        <w:rPr>
          <w:sz w:val="26"/>
          <w:szCs w:val="26"/>
        </w:rPr>
      </w:pPr>
      <w:r w:rsidRPr="0051510E">
        <w:rPr>
          <w:sz w:val="26"/>
          <w:szCs w:val="26"/>
        </w:rPr>
        <w:t xml:space="preserve">Нова редакція Засновницького договору зареєстрована 05.09.2019, № запису 10 26 1200000 002314. </w:t>
      </w:r>
    </w:p>
    <w:p w:rsidR="00E06677" w:rsidRPr="0051510E" w:rsidRDefault="00E06677" w:rsidP="0051510E">
      <w:pPr>
        <w:autoSpaceDE w:val="0"/>
        <w:autoSpaceDN w:val="0"/>
        <w:adjustRightInd w:val="0"/>
        <w:ind w:firstLine="567"/>
        <w:jc w:val="both"/>
        <w:rPr>
          <w:bCs/>
          <w:sz w:val="26"/>
          <w:szCs w:val="26"/>
        </w:rPr>
      </w:pPr>
      <w:r w:rsidRPr="0051510E">
        <w:rPr>
          <w:sz w:val="26"/>
          <w:szCs w:val="26"/>
        </w:rPr>
        <w:t xml:space="preserve">Протягом звітного 2023 року Товариство здійснювало фінансово – господарську діяльність виключно в межах законодавства України, </w:t>
      </w:r>
      <w:r w:rsidRPr="0051510E">
        <w:rPr>
          <w:bCs/>
          <w:sz w:val="26"/>
          <w:szCs w:val="26"/>
        </w:rPr>
        <w:t xml:space="preserve">види діяльності Товариства, відповідно до </w:t>
      </w:r>
      <w:r w:rsidRPr="0051510E">
        <w:rPr>
          <w:sz w:val="26"/>
          <w:szCs w:val="26"/>
        </w:rPr>
        <w:t>Засновницького договору</w:t>
      </w:r>
      <w:r w:rsidRPr="0051510E">
        <w:rPr>
          <w:bCs/>
          <w:sz w:val="26"/>
          <w:szCs w:val="26"/>
        </w:rPr>
        <w:t>, за КВЕД-2010:</w:t>
      </w:r>
    </w:p>
    <w:p w:rsidR="00E06677" w:rsidRPr="0051510E" w:rsidRDefault="00E06677" w:rsidP="0051510E">
      <w:pPr>
        <w:spacing w:before="40"/>
        <w:ind w:firstLine="567"/>
        <w:jc w:val="both"/>
        <w:rPr>
          <w:sz w:val="26"/>
          <w:szCs w:val="26"/>
        </w:rPr>
      </w:pPr>
      <w:r w:rsidRPr="0051510E">
        <w:rPr>
          <w:sz w:val="26"/>
          <w:szCs w:val="26"/>
        </w:rPr>
        <w:t>64.92  Інші види кредитування.</w:t>
      </w:r>
    </w:p>
    <w:p w:rsidR="00E06677" w:rsidRPr="0051510E" w:rsidRDefault="00E06677" w:rsidP="0051510E">
      <w:pPr>
        <w:ind w:firstLine="567"/>
        <w:jc w:val="both"/>
        <w:rPr>
          <w:sz w:val="26"/>
          <w:szCs w:val="26"/>
        </w:rPr>
      </w:pPr>
      <w:r w:rsidRPr="0051510E">
        <w:rPr>
          <w:sz w:val="26"/>
          <w:szCs w:val="26"/>
        </w:rPr>
        <w:t>Ломбард в 2023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E06677" w:rsidRPr="0051510E" w:rsidRDefault="00E06677" w:rsidP="0051510E">
      <w:pPr>
        <w:ind w:firstLine="567"/>
        <w:jc w:val="both"/>
        <w:rPr>
          <w:sz w:val="26"/>
          <w:szCs w:val="26"/>
        </w:rPr>
      </w:pPr>
      <w:r w:rsidRPr="0051510E">
        <w:rPr>
          <w:sz w:val="26"/>
          <w:szCs w:val="26"/>
        </w:rPr>
        <w:t>Перше отримане Свідоцтво Державної комісії з регулювання ринків фінансових послуг України</w:t>
      </w:r>
      <w:r w:rsidR="00AA5707" w:rsidRPr="00AA5707">
        <w:rPr>
          <w:sz w:val="26"/>
          <w:szCs w:val="26"/>
        </w:rPr>
        <w:t xml:space="preserve"> </w:t>
      </w:r>
      <w:r w:rsidRPr="0051510E">
        <w:rPr>
          <w:sz w:val="26"/>
          <w:szCs w:val="26"/>
        </w:rPr>
        <w:t xml:space="preserve">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 </w:t>
      </w:r>
    </w:p>
    <w:p w:rsidR="00E06677" w:rsidRPr="0051510E" w:rsidRDefault="00E06677" w:rsidP="0051510E">
      <w:pPr>
        <w:ind w:firstLine="567"/>
        <w:jc w:val="both"/>
        <w:rPr>
          <w:sz w:val="26"/>
          <w:szCs w:val="26"/>
        </w:rPr>
      </w:pPr>
      <w:r w:rsidRPr="0051510E">
        <w:rPr>
          <w:sz w:val="26"/>
          <w:szCs w:val="26"/>
        </w:rPr>
        <w:t>ПТ «ЛОМБАРД «ГАРАНТ-ЧЕРКАСИ» провадить діяльність згідно переоформленого Свідоцтва, що є дійсним на дату звітності,  ЛД № Г0000175 від 25.02.2021р., видане за рішенням Національного Банку України.</w:t>
      </w:r>
    </w:p>
    <w:p w:rsidR="00E06677" w:rsidRPr="0051510E" w:rsidRDefault="00E06677" w:rsidP="0051510E">
      <w:pPr>
        <w:ind w:firstLine="567"/>
        <w:jc w:val="both"/>
        <w:rPr>
          <w:sz w:val="26"/>
          <w:szCs w:val="26"/>
        </w:rPr>
      </w:pPr>
      <w:r w:rsidRPr="0051510E">
        <w:rPr>
          <w:sz w:val="26"/>
          <w:szCs w:val="26"/>
        </w:rPr>
        <w:t>Також для 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p>
    <w:p w:rsidR="00E06677" w:rsidRPr="0051510E" w:rsidRDefault="00E06677" w:rsidP="0051510E">
      <w:pPr>
        <w:ind w:firstLine="567"/>
        <w:jc w:val="both"/>
        <w:rPr>
          <w:sz w:val="26"/>
          <w:szCs w:val="26"/>
        </w:rPr>
      </w:pPr>
      <w:r w:rsidRPr="0051510E">
        <w:rPr>
          <w:sz w:val="26"/>
          <w:szCs w:val="26"/>
        </w:rPr>
        <w:t>Товариство не суміщає  провадження основного виду господарської діяльності з іншими.</w:t>
      </w:r>
    </w:p>
    <w:p w:rsidR="00E06677" w:rsidRPr="0051510E" w:rsidRDefault="00E06677" w:rsidP="0051510E">
      <w:pPr>
        <w:ind w:firstLine="567"/>
        <w:jc w:val="both"/>
        <w:rPr>
          <w:sz w:val="26"/>
          <w:szCs w:val="26"/>
        </w:rPr>
      </w:pPr>
      <w:r w:rsidRPr="0051510E">
        <w:rPr>
          <w:sz w:val="26"/>
          <w:szCs w:val="26"/>
        </w:rPr>
        <w:lastRenderedPageBreak/>
        <w:t>Юридична адреса ПТ «ЛОМБАРД «ГАРАНТ-ЧЕРКАСИ»  - 18002, Черкаська обл., місто Черкаси, ВУЛИЦЯ СМІЛЯНСЬКА, будинок 36.</w:t>
      </w:r>
    </w:p>
    <w:p w:rsidR="007C331C" w:rsidRPr="0051510E" w:rsidRDefault="007C331C" w:rsidP="0051510E">
      <w:pPr>
        <w:autoSpaceDE w:val="0"/>
        <w:autoSpaceDN w:val="0"/>
        <w:adjustRightInd w:val="0"/>
        <w:ind w:firstLine="567"/>
        <w:jc w:val="both"/>
        <w:rPr>
          <w:sz w:val="26"/>
          <w:szCs w:val="26"/>
        </w:rPr>
      </w:pPr>
      <w:r w:rsidRPr="0051510E">
        <w:rPr>
          <w:sz w:val="26"/>
          <w:szCs w:val="26"/>
        </w:rPr>
        <w:t>Установчим документом Товариства є Засновницькій договір в редакції затвердженої Загальними зборами учасників Товариства протоколом №31 від 05.09.2019 р.</w:t>
      </w:r>
    </w:p>
    <w:p w:rsidR="007C331C" w:rsidRPr="0051510E" w:rsidRDefault="007C331C" w:rsidP="0051510E">
      <w:pPr>
        <w:autoSpaceDE w:val="0"/>
        <w:autoSpaceDN w:val="0"/>
        <w:adjustRightInd w:val="0"/>
        <w:ind w:firstLine="567"/>
        <w:jc w:val="both"/>
        <w:rPr>
          <w:sz w:val="26"/>
          <w:szCs w:val="26"/>
        </w:rPr>
      </w:pPr>
      <w:r w:rsidRPr="0051510E">
        <w:rPr>
          <w:sz w:val="26"/>
          <w:szCs w:val="26"/>
        </w:rPr>
        <w:t xml:space="preserve">Кінцевими </w:t>
      </w:r>
      <w:proofErr w:type="spellStart"/>
      <w:r w:rsidRPr="0051510E">
        <w:rPr>
          <w:sz w:val="26"/>
          <w:szCs w:val="26"/>
        </w:rPr>
        <w:t>бенефіціарними</w:t>
      </w:r>
      <w:proofErr w:type="spellEnd"/>
      <w:r w:rsidRPr="0051510E">
        <w:rPr>
          <w:sz w:val="26"/>
          <w:szCs w:val="26"/>
        </w:rPr>
        <w:t xml:space="preserve"> власниками (контролерами) Товариства є: </w:t>
      </w:r>
    </w:p>
    <w:p w:rsidR="007C331C" w:rsidRPr="0051510E" w:rsidRDefault="007C331C" w:rsidP="0051510E">
      <w:pPr>
        <w:pStyle w:val="a3"/>
        <w:numPr>
          <w:ilvl w:val="0"/>
          <w:numId w:val="1"/>
        </w:numPr>
        <w:autoSpaceDE w:val="0"/>
        <w:autoSpaceDN w:val="0"/>
        <w:adjustRightInd w:val="0"/>
        <w:ind w:left="0" w:firstLine="567"/>
        <w:jc w:val="both"/>
        <w:rPr>
          <w:sz w:val="26"/>
          <w:szCs w:val="26"/>
        </w:rPr>
      </w:pPr>
      <w:r w:rsidRPr="0051510E">
        <w:rPr>
          <w:sz w:val="26"/>
          <w:szCs w:val="26"/>
        </w:rPr>
        <w:t>Бородай Олена Андріївна,</w:t>
      </w:r>
    </w:p>
    <w:p w:rsidR="007C331C" w:rsidRPr="0051510E" w:rsidRDefault="007C331C" w:rsidP="0051510E">
      <w:pPr>
        <w:pStyle w:val="a3"/>
        <w:numPr>
          <w:ilvl w:val="0"/>
          <w:numId w:val="1"/>
        </w:numPr>
        <w:autoSpaceDE w:val="0"/>
        <w:autoSpaceDN w:val="0"/>
        <w:adjustRightInd w:val="0"/>
        <w:ind w:left="0" w:firstLine="567"/>
        <w:jc w:val="both"/>
        <w:rPr>
          <w:sz w:val="26"/>
          <w:szCs w:val="26"/>
        </w:rPr>
      </w:pPr>
      <w:proofErr w:type="spellStart"/>
      <w:r w:rsidRPr="0051510E">
        <w:rPr>
          <w:sz w:val="26"/>
          <w:szCs w:val="26"/>
        </w:rPr>
        <w:t>Таценко</w:t>
      </w:r>
      <w:proofErr w:type="spellEnd"/>
      <w:r w:rsidRPr="0051510E">
        <w:rPr>
          <w:sz w:val="26"/>
          <w:szCs w:val="26"/>
        </w:rPr>
        <w:t xml:space="preserve"> Дмитро Сергійович</w:t>
      </w:r>
    </w:p>
    <w:p w:rsidR="007C331C" w:rsidRPr="0051510E" w:rsidRDefault="007C331C" w:rsidP="0051510E">
      <w:pPr>
        <w:autoSpaceDE w:val="0"/>
        <w:autoSpaceDN w:val="0"/>
        <w:adjustRightInd w:val="0"/>
        <w:ind w:firstLine="567"/>
        <w:jc w:val="both"/>
        <w:rPr>
          <w:sz w:val="26"/>
          <w:szCs w:val="26"/>
        </w:rPr>
      </w:pPr>
      <w:r w:rsidRPr="0051510E">
        <w:rPr>
          <w:sz w:val="26"/>
          <w:szCs w:val="26"/>
        </w:rPr>
        <w:t>Наглядова рада відсутня. Виконавчим органом Товариства є директор - Соколенко Ніна Олексіївна.</w:t>
      </w:r>
    </w:p>
    <w:p w:rsidR="00353B36" w:rsidRPr="0051510E" w:rsidRDefault="00353B36" w:rsidP="0051510E">
      <w:pPr>
        <w:autoSpaceDE w:val="0"/>
        <w:autoSpaceDN w:val="0"/>
        <w:adjustRightInd w:val="0"/>
        <w:ind w:firstLine="567"/>
        <w:jc w:val="both"/>
        <w:rPr>
          <w:sz w:val="26"/>
          <w:szCs w:val="26"/>
        </w:rPr>
      </w:pPr>
      <w:r w:rsidRPr="0051510E">
        <w:rPr>
          <w:sz w:val="26"/>
          <w:szCs w:val="26"/>
        </w:rPr>
        <w:t xml:space="preserve">Директор Товариства: Забезпечує виконання рішень Загальних зборів учасників Товариства; діє без доручення від імені Товариства в межах встановлених законодавством та Засновницьким договором, укладає правочини, представляє його у відносинах з органами державної влади і управління, а також іншими юридичними та фізичними особами; видає в межах своєї компетенції накази (розпорядження), у відповідності з трудовим законодавством наймає та звільнює працівників Товариства, встановлює розподіл обов’язків, застосовує заохочення та накладає стягнення; відкриває рахунки у банківських установах, укладає договори, видає довіреності на здійснення дій від імені Товариства; у встановленому порядку розпоряджається майном і коштами товариства в межах своєї компетенції для здійснення статутної діяльності; затверджує локальні документи Товариства; приймає рішення про створення, реорганізацію та ліквідацію відокремлених підрозділів, виконує інші функції по оперативному управлінню Товариством. </w:t>
      </w:r>
    </w:p>
    <w:p w:rsidR="00353B36" w:rsidRPr="0051510E" w:rsidRDefault="00353B36" w:rsidP="0051510E">
      <w:pPr>
        <w:autoSpaceDE w:val="0"/>
        <w:autoSpaceDN w:val="0"/>
        <w:adjustRightInd w:val="0"/>
        <w:ind w:firstLine="567"/>
        <w:jc w:val="both"/>
        <w:rPr>
          <w:sz w:val="26"/>
          <w:szCs w:val="26"/>
        </w:rPr>
      </w:pPr>
      <w:r w:rsidRPr="0051510E">
        <w:rPr>
          <w:sz w:val="26"/>
          <w:szCs w:val="26"/>
        </w:rPr>
        <w:t>Головний бухгалтер організовує ведення бухгалтерського обліку та звітності і відповідає за дотримання фінансової дисципліни.</w:t>
      </w:r>
    </w:p>
    <w:p w:rsidR="00E06677" w:rsidRPr="0051510E" w:rsidRDefault="00E06677" w:rsidP="0051510E">
      <w:pPr>
        <w:autoSpaceDE w:val="0"/>
        <w:autoSpaceDN w:val="0"/>
        <w:adjustRightInd w:val="0"/>
        <w:ind w:firstLine="567"/>
        <w:jc w:val="both"/>
        <w:rPr>
          <w:sz w:val="26"/>
          <w:szCs w:val="26"/>
        </w:rPr>
      </w:pPr>
      <w:r w:rsidRPr="0051510E">
        <w:rPr>
          <w:sz w:val="26"/>
          <w:szCs w:val="26"/>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51510E">
        <w:rPr>
          <w:sz w:val="26"/>
          <w:szCs w:val="26"/>
        </w:rPr>
        <w:tab/>
      </w:r>
    </w:p>
    <w:p w:rsidR="00E06677" w:rsidRPr="0051510E" w:rsidRDefault="00E06677" w:rsidP="0051510E">
      <w:pPr>
        <w:ind w:firstLine="567"/>
        <w:jc w:val="both"/>
        <w:rPr>
          <w:sz w:val="26"/>
          <w:szCs w:val="26"/>
        </w:rPr>
      </w:pPr>
      <w:r w:rsidRPr="0051510E">
        <w:rPr>
          <w:sz w:val="26"/>
          <w:szCs w:val="26"/>
        </w:rPr>
        <w:t>Середня кількість працівників товариства на кінець 2023 р. становила 4 чол.</w:t>
      </w:r>
    </w:p>
    <w:p w:rsidR="00353B36" w:rsidRPr="0051510E" w:rsidRDefault="00353B36" w:rsidP="0051510E">
      <w:pPr>
        <w:ind w:firstLine="567"/>
        <w:jc w:val="both"/>
        <w:rPr>
          <w:sz w:val="26"/>
          <w:szCs w:val="26"/>
        </w:rPr>
      </w:pPr>
      <w:r w:rsidRPr="0051510E">
        <w:rPr>
          <w:sz w:val="26"/>
          <w:szCs w:val="26"/>
        </w:rPr>
        <w:t>Відокремлених підрозділів Повне товариство «Ломбард «Гарант-Черкаси» Бородай О.А. і компанія» не має.</w:t>
      </w:r>
    </w:p>
    <w:p w:rsidR="00E06677" w:rsidRPr="0051510E" w:rsidRDefault="00E06677" w:rsidP="0051510E">
      <w:pPr>
        <w:tabs>
          <w:tab w:val="left" w:pos="705"/>
        </w:tabs>
        <w:ind w:firstLine="567"/>
        <w:jc w:val="both"/>
        <w:rPr>
          <w:sz w:val="26"/>
          <w:szCs w:val="26"/>
        </w:rPr>
      </w:pPr>
      <w:r w:rsidRPr="0051510E">
        <w:rPr>
          <w:sz w:val="26"/>
          <w:szCs w:val="26"/>
        </w:rPr>
        <w:t xml:space="preserve">Ломбард має власний веб-сайтhttps://garant-cherkassy.biz.ua, на якому розміщена інформація, передбачена вимогами; загальна інформація, та фінансова звітність за попередні роки. </w:t>
      </w:r>
    </w:p>
    <w:p w:rsidR="00A64ECA" w:rsidRPr="0051510E" w:rsidRDefault="00A64ECA" w:rsidP="0051510E">
      <w:pPr>
        <w:tabs>
          <w:tab w:val="left" w:pos="705"/>
        </w:tabs>
        <w:ind w:firstLine="567"/>
        <w:jc w:val="both"/>
        <w:rPr>
          <w:sz w:val="26"/>
          <w:szCs w:val="26"/>
          <w:lang w:val="ru-RU"/>
        </w:rPr>
      </w:pPr>
      <w:r w:rsidRPr="0051510E">
        <w:rPr>
          <w:sz w:val="26"/>
          <w:szCs w:val="26"/>
        </w:rPr>
        <w:t>За період 202</w:t>
      </w:r>
      <w:r w:rsidRPr="0051510E">
        <w:rPr>
          <w:sz w:val="26"/>
          <w:szCs w:val="26"/>
          <w:lang w:val="ru-RU"/>
        </w:rPr>
        <w:t>3</w:t>
      </w:r>
      <w:r w:rsidRPr="0051510E">
        <w:rPr>
          <w:sz w:val="26"/>
          <w:szCs w:val="26"/>
        </w:rPr>
        <w:t xml:space="preserve"> року </w:t>
      </w:r>
      <w:r w:rsidR="009D5992" w:rsidRPr="0051510E">
        <w:rPr>
          <w:sz w:val="26"/>
          <w:szCs w:val="26"/>
        </w:rPr>
        <w:t xml:space="preserve">до Товариства штрафні санкції з боку контролюючих органів та </w:t>
      </w:r>
      <w:r w:rsidRPr="0051510E">
        <w:rPr>
          <w:sz w:val="26"/>
          <w:szCs w:val="26"/>
        </w:rPr>
        <w:t>заходи впливу НБУ не застосовувалися.</w:t>
      </w:r>
    </w:p>
    <w:p w:rsidR="00106A35" w:rsidRPr="0051510E" w:rsidRDefault="00AA5707" w:rsidP="0051510E">
      <w:pPr>
        <w:ind w:firstLine="567"/>
        <w:jc w:val="both"/>
        <w:rPr>
          <w:sz w:val="26"/>
          <w:szCs w:val="26"/>
          <w:lang w:val="ru-RU"/>
        </w:rPr>
      </w:pPr>
    </w:p>
    <w:p w:rsidR="00353B36" w:rsidRDefault="00353B36" w:rsidP="0051510E">
      <w:pPr>
        <w:ind w:firstLine="567"/>
        <w:jc w:val="center"/>
        <w:rPr>
          <w:sz w:val="26"/>
          <w:szCs w:val="26"/>
          <w:u w:val="single"/>
          <w:lang w:val="ru-RU"/>
        </w:rPr>
      </w:pPr>
      <w:r w:rsidRPr="0051510E">
        <w:rPr>
          <w:sz w:val="26"/>
          <w:szCs w:val="26"/>
          <w:u w:val="single"/>
        </w:rPr>
        <w:t>Результати діяльності</w:t>
      </w:r>
    </w:p>
    <w:p w:rsidR="00AA5707" w:rsidRPr="00AA5707" w:rsidRDefault="00AA5707" w:rsidP="0051510E">
      <w:pPr>
        <w:ind w:firstLine="567"/>
        <w:jc w:val="center"/>
        <w:rPr>
          <w:sz w:val="26"/>
          <w:szCs w:val="26"/>
          <w:u w:val="single"/>
          <w:lang w:val="ru-RU"/>
        </w:rPr>
      </w:pPr>
    </w:p>
    <w:p w:rsidR="00992EC1" w:rsidRPr="0051510E" w:rsidRDefault="00992EC1" w:rsidP="0051510E">
      <w:pPr>
        <w:ind w:firstLine="567"/>
        <w:jc w:val="both"/>
        <w:rPr>
          <w:sz w:val="26"/>
          <w:szCs w:val="26"/>
        </w:rPr>
      </w:pPr>
      <w:r w:rsidRPr="0051510E">
        <w:rPr>
          <w:sz w:val="26"/>
          <w:szCs w:val="26"/>
        </w:rPr>
        <w:t xml:space="preserve">        Основним видом діяльності Товариства є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w:t>
      </w:r>
    </w:p>
    <w:p w:rsidR="00992EC1" w:rsidRPr="0051510E" w:rsidRDefault="00992EC1" w:rsidP="0051510E">
      <w:pPr>
        <w:ind w:firstLine="567"/>
        <w:jc w:val="both"/>
        <w:rPr>
          <w:sz w:val="26"/>
          <w:szCs w:val="26"/>
        </w:rPr>
      </w:pPr>
      <w:r w:rsidRPr="0051510E">
        <w:rPr>
          <w:sz w:val="26"/>
          <w:szCs w:val="26"/>
        </w:rPr>
        <w:t xml:space="preserve">       За 2023 Ломбардом надано кредитів на загальну суму 10 372 тис. грн.</w:t>
      </w:r>
      <w:r w:rsidR="00353D89" w:rsidRPr="0051510E">
        <w:rPr>
          <w:sz w:val="26"/>
          <w:szCs w:val="26"/>
        </w:rPr>
        <w:t xml:space="preserve">; погашено кредитів на 10 485 тис. грн. , з них за рахунок майна 281 тис. грн. </w:t>
      </w:r>
    </w:p>
    <w:p w:rsidR="00992EC1" w:rsidRPr="0051510E" w:rsidRDefault="00992EC1" w:rsidP="0051510E">
      <w:pPr>
        <w:ind w:firstLine="567"/>
        <w:jc w:val="both"/>
        <w:rPr>
          <w:sz w:val="26"/>
          <w:szCs w:val="26"/>
        </w:rPr>
      </w:pPr>
      <w:r w:rsidRPr="0051510E">
        <w:rPr>
          <w:sz w:val="26"/>
          <w:szCs w:val="26"/>
        </w:rPr>
        <w:t xml:space="preserve">        Діяльність ПТ «Ломбард «Гарант-Черкаси» в 2023 р. була прибутковою. Чистий прибуток за 2023 рік склав </w:t>
      </w:r>
      <w:r w:rsidR="00353D89" w:rsidRPr="0051510E">
        <w:rPr>
          <w:sz w:val="26"/>
          <w:szCs w:val="26"/>
        </w:rPr>
        <w:t xml:space="preserve">53 тис грн. </w:t>
      </w:r>
    </w:p>
    <w:p w:rsidR="00BB2FC2" w:rsidRPr="0051510E" w:rsidRDefault="00BB2FC2" w:rsidP="0051510E">
      <w:pPr>
        <w:ind w:firstLine="567"/>
        <w:jc w:val="both"/>
        <w:rPr>
          <w:sz w:val="26"/>
          <w:szCs w:val="26"/>
        </w:rPr>
      </w:pPr>
    </w:p>
    <w:p w:rsidR="00353D89" w:rsidRPr="0051510E" w:rsidRDefault="00AA5707" w:rsidP="0051510E">
      <w:pPr>
        <w:ind w:firstLine="567"/>
        <w:jc w:val="both"/>
        <w:rPr>
          <w:sz w:val="26"/>
          <w:szCs w:val="26"/>
        </w:rPr>
      </w:pPr>
      <w:r>
        <w:rPr>
          <w:sz w:val="26"/>
          <w:szCs w:val="26"/>
          <w:lang w:val="ru-RU"/>
        </w:rPr>
        <w:lastRenderedPageBreak/>
        <w:t xml:space="preserve">        </w:t>
      </w:r>
      <w:r w:rsidR="00353D89" w:rsidRPr="0051510E">
        <w:rPr>
          <w:sz w:val="26"/>
          <w:szCs w:val="26"/>
        </w:rPr>
        <w:t>Доходи</w:t>
      </w:r>
    </w:p>
    <w:p w:rsidR="00353D89" w:rsidRPr="0051510E" w:rsidRDefault="00353D89" w:rsidP="0051510E">
      <w:pPr>
        <w:ind w:firstLine="567"/>
        <w:jc w:val="both"/>
        <w:rPr>
          <w:sz w:val="26"/>
          <w:szCs w:val="26"/>
        </w:rPr>
      </w:pPr>
      <w:r w:rsidRPr="0051510E">
        <w:rPr>
          <w:sz w:val="26"/>
          <w:szCs w:val="26"/>
        </w:rPr>
        <w:t xml:space="preserve">   За звітній період 2023 р. було отримано доходу 810 тис грн.  він складався з:</w:t>
      </w:r>
    </w:p>
    <w:p w:rsidR="00353D89" w:rsidRPr="0051510E" w:rsidRDefault="00353D89" w:rsidP="0051510E">
      <w:pPr>
        <w:ind w:firstLine="567"/>
        <w:jc w:val="both"/>
        <w:rPr>
          <w:sz w:val="26"/>
          <w:szCs w:val="26"/>
        </w:rPr>
      </w:pPr>
      <w:r w:rsidRPr="0051510E">
        <w:rPr>
          <w:sz w:val="26"/>
          <w:szCs w:val="26"/>
        </w:rPr>
        <w:t xml:space="preserve">-  чистий дохід від реалізації продукції( товарів, робіт, послуг)   810 тис. грн.. </w:t>
      </w:r>
    </w:p>
    <w:p w:rsidR="00BB2FC2" w:rsidRPr="0051510E" w:rsidRDefault="00BB2FC2" w:rsidP="0051510E">
      <w:pPr>
        <w:ind w:firstLine="567"/>
        <w:jc w:val="both"/>
        <w:rPr>
          <w:sz w:val="26"/>
          <w:szCs w:val="26"/>
        </w:rPr>
      </w:pPr>
    </w:p>
    <w:p w:rsidR="00BB2FC2" w:rsidRPr="0051510E" w:rsidRDefault="00BB2FC2" w:rsidP="0051510E">
      <w:pPr>
        <w:ind w:firstLine="567"/>
        <w:jc w:val="both"/>
        <w:rPr>
          <w:sz w:val="26"/>
          <w:szCs w:val="26"/>
        </w:rPr>
      </w:pPr>
      <w:r w:rsidRPr="0051510E">
        <w:rPr>
          <w:sz w:val="26"/>
          <w:szCs w:val="26"/>
        </w:rPr>
        <w:t xml:space="preserve">        Витрати</w:t>
      </w:r>
    </w:p>
    <w:p w:rsidR="00BB2FC2" w:rsidRPr="0051510E" w:rsidRDefault="00BB2FC2" w:rsidP="0051510E">
      <w:pPr>
        <w:ind w:firstLine="567"/>
        <w:jc w:val="both"/>
        <w:rPr>
          <w:sz w:val="26"/>
          <w:szCs w:val="26"/>
        </w:rPr>
      </w:pPr>
      <w:r w:rsidRPr="0051510E">
        <w:rPr>
          <w:sz w:val="26"/>
          <w:szCs w:val="26"/>
        </w:rPr>
        <w:t>Загальна сума витрат становить 746 тис. грн.</w:t>
      </w:r>
    </w:p>
    <w:p w:rsidR="00BB2FC2" w:rsidRPr="0051510E" w:rsidRDefault="00BB2FC2" w:rsidP="0051510E">
      <w:pPr>
        <w:ind w:firstLine="567"/>
        <w:jc w:val="both"/>
        <w:rPr>
          <w:sz w:val="26"/>
          <w:szCs w:val="26"/>
        </w:rPr>
      </w:pPr>
    </w:p>
    <w:tbl>
      <w:tblPr>
        <w:tblW w:w="9684" w:type="dxa"/>
        <w:jc w:val="center"/>
        <w:tblCellSpacing w:w="15" w:type="dxa"/>
        <w:tblCellMar>
          <w:top w:w="15" w:type="dxa"/>
          <w:left w:w="15" w:type="dxa"/>
          <w:bottom w:w="15" w:type="dxa"/>
          <w:right w:w="15" w:type="dxa"/>
        </w:tblCellMar>
        <w:tblLook w:val="04A0"/>
      </w:tblPr>
      <w:tblGrid>
        <w:gridCol w:w="81"/>
        <w:gridCol w:w="9603"/>
      </w:tblGrid>
      <w:tr w:rsidR="00E33BA9" w:rsidRPr="0051510E" w:rsidTr="0051510E">
        <w:trPr>
          <w:tblCellSpacing w:w="15" w:type="dxa"/>
          <w:jc w:val="center"/>
        </w:trPr>
        <w:tc>
          <w:tcPr>
            <w:tcW w:w="9624" w:type="dxa"/>
            <w:gridSpan w:val="2"/>
            <w:vAlign w:val="center"/>
            <w:hideMark/>
          </w:tcPr>
          <w:p w:rsidR="00E33BA9" w:rsidRPr="0051510E" w:rsidRDefault="00E33BA9" w:rsidP="00AA5707">
            <w:pPr>
              <w:ind w:firstLine="567"/>
              <w:jc w:val="center"/>
              <w:rPr>
                <w:rFonts w:eastAsia="Times New Roman"/>
                <w:sz w:val="26"/>
                <w:szCs w:val="26"/>
                <w:u w:val="single"/>
                <w:lang w:eastAsia="uk-UA"/>
              </w:rPr>
            </w:pPr>
            <w:r w:rsidRPr="0051510E">
              <w:rPr>
                <w:rFonts w:eastAsia="Times New Roman"/>
                <w:sz w:val="26"/>
                <w:szCs w:val="26"/>
                <w:u w:val="single"/>
                <w:lang w:eastAsia="uk-UA"/>
              </w:rPr>
              <w:t>Ліквідність та зобов'язання</w:t>
            </w:r>
          </w:p>
        </w:tc>
      </w:tr>
      <w:tr w:rsidR="00E33BA9" w:rsidRPr="0051510E" w:rsidTr="0051510E">
        <w:trPr>
          <w:gridAfter w:val="1"/>
          <w:wAfter w:w="9543" w:type="dxa"/>
          <w:tblCellSpacing w:w="15" w:type="dxa"/>
          <w:jc w:val="center"/>
        </w:trPr>
        <w:tc>
          <w:tcPr>
            <w:tcW w:w="0" w:type="auto"/>
            <w:vAlign w:val="center"/>
            <w:hideMark/>
          </w:tcPr>
          <w:p w:rsidR="00E33BA9" w:rsidRPr="0051510E" w:rsidRDefault="00E33BA9" w:rsidP="0051510E">
            <w:pPr>
              <w:spacing w:before="100" w:beforeAutospacing="1" w:after="100" w:afterAutospacing="1"/>
              <w:ind w:firstLine="567"/>
              <w:jc w:val="both"/>
              <w:rPr>
                <w:rFonts w:eastAsia="Times New Roman"/>
                <w:sz w:val="26"/>
                <w:szCs w:val="26"/>
                <w:lang w:eastAsia="uk-UA"/>
              </w:rPr>
            </w:pPr>
          </w:p>
        </w:tc>
      </w:tr>
    </w:tbl>
    <w:p w:rsidR="00E33BA9" w:rsidRPr="0051510E" w:rsidRDefault="00E33BA9" w:rsidP="0051510E">
      <w:pPr>
        <w:ind w:firstLine="567"/>
        <w:jc w:val="both"/>
        <w:rPr>
          <w:sz w:val="26"/>
          <w:szCs w:val="26"/>
        </w:rPr>
      </w:pPr>
      <w:r w:rsidRPr="0051510E">
        <w:rPr>
          <w:sz w:val="26"/>
          <w:szCs w:val="26"/>
        </w:rPr>
        <w:t xml:space="preserve">  Валюта балансу станом на 31.12.2023 р. дорівнювала 2019 тис</w:t>
      </w:r>
      <w:r w:rsidR="007A59AC" w:rsidRPr="0051510E">
        <w:rPr>
          <w:sz w:val="26"/>
          <w:szCs w:val="26"/>
        </w:rPr>
        <w:t>.</w:t>
      </w:r>
      <w:r w:rsidRPr="0051510E">
        <w:rPr>
          <w:sz w:val="26"/>
          <w:szCs w:val="26"/>
        </w:rPr>
        <w:t xml:space="preserve"> грн. У період </w:t>
      </w:r>
      <w:r w:rsidR="007A59AC" w:rsidRPr="0051510E">
        <w:rPr>
          <w:sz w:val="26"/>
          <w:szCs w:val="26"/>
        </w:rPr>
        <w:t xml:space="preserve"> 2019- 2023 рр. коливання валюти балансу було не істотним. В  2023 р. відбулося незначне збільшення</w:t>
      </w:r>
    </w:p>
    <w:p w:rsidR="007A59AC" w:rsidRPr="0051510E" w:rsidRDefault="007A59AC" w:rsidP="0051510E">
      <w:pPr>
        <w:ind w:firstLine="567"/>
        <w:jc w:val="both"/>
        <w:rPr>
          <w:sz w:val="26"/>
          <w:szCs w:val="26"/>
        </w:rPr>
      </w:pPr>
      <w:r w:rsidRPr="0051510E">
        <w:rPr>
          <w:sz w:val="26"/>
          <w:szCs w:val="26"/>
        </w:rPr>
        <w:t>(на 10.6% в порівнянні з 2019 р.).</w:t>
      </w:r>
    </w:p>
    <w:p w:rsidR="00F53EC0" w:rsidRPr="0051510E" w:rsidRDefault="007A59AC" w:rsidP="0051510E">
      <w:pPr>
        <w:ind w:firstLine="567"/>
        <w:jc w:val="both"/>
        <w:rPr>
          <w:sz w:val="26"/>
          <w:szCs w:val="26"/>
        </w:rPr>
      </w:pPr>
      <w:r w:rsidRPr="0051510E">
        <w:rPr>
          <w:sz w:val="26"/>
          <w:szCs w:val="26"/>
        </w:rPr>
        <w:t xml:space="preserve">Основним джерелом формування активів підприємства виступав власний капітал , який дорівнював 2007 тис. грн. </w:t>
      </w:r>
      <w:r w:rsidR="00F53EC0" w:rsidRPr="0051510E">
        <w:rPr>
          <w:sz w:val="26"/>
          <w:szCs w:val="26"/>
        </w:rPr>
        <w:t>та складався з зареєстрованого капіталу – 1000 тис. грн.;</w:t>
      </w:r>
    </w:p>
    <w:p w:rsidR="00F53EC0" w:rsidRPr="0051510E" w:rsidRDefault="00F53EC0" w:rsidP="0051510E">
      <w:pPr>
        <w:ind w:firstLine="567"/>
        <w:jc w:val="both"/>
        <w:rPr>
          <w:sz w:val="26"/>
          <w:szCs w:val="26"/>
        </w:rPr>
      </w:pPr>
      <w:r w:rsidRPr="0051510E">
        <w:rPr>
          <w:sz w:val="26"/>
          <w:szCs w:val="26"/>
        </w:rPr>
        <w:t xml:space="preserve">Резервного капіталу – 7 тис. грн.; нерозподіленого прибутку – 1000 тис. грн. </w:t>
      </w:r>
    </w:p>
    <w:p w:rsidR="007A59AC" w:rsidRPr="0051510E" w:rsidRDefault="00F53EC0" w:rsidP="0051510E">
      <w:pPr>
        <w:ind w:firstLine="567"/>
        <w:jc w:val="both"/>
        <w:rPr>
          <w:rFonts w:eastAsia="Times New Roman"/>
          <w:sz w:val="26"/>
          <w:szCs w:val="26"/>
          <w:lang w:eastAsia="uk-UA"/>
        </w:rPr>
      </w:pPr>
      <w:r w:rsidRPr="0051510E">
        <w:rPr>
          <w:rFonts w:eastAsia="Times New Roman"/>
          <w:sz w:val="26"/>
          <w:szCs w:val="26"/>
          <w:lang w:eastAsia="uk-UA"/>
        </w:rPr>
        <w:t>Важливим аспектом оцінки фінансового стану підприємства є аналіз ліквідності. Більшість підприємств в існуючих економічних умовах не приділяють достатньої уваги питанням постійного моніторингу рівня їх ліквідності та, як наслідок, через деякий час зіштовхуються з проблемою недостатності або грошових коштів (як абсолютно-ліквідної частини оборотних активів) або загальної суми оборотного капіталу для здійснення поточної виробничої діяльності та проведення усіх необхідних розрахунків з контрагентами. ПТ «Ломбард «Гарант-Черкаси» підтримує в процесі діяльності критерії щодо ліквідності, власного капіталу, платоспроможності, якості активів та ризиковості операцій відповідно до законодавства України.</w:t>
      </w:r>
    </w:p>
    <w:tbl>
      <w:tblPr>
        <w:tblW w:w="0" w:type="auto"/>
        <w:tblCellSpacing w:w="15" w:type="dxa"/>
        <w:tblCellMar>
          <w:top w:w="15" w:type="dxa"/>
          <w:left w:w="15" w:type="dxa"/>
          <w:bottom w:w="15" w:type="dxa"/>
          <w:right w:w="15" w:type="dxa"/>
        </w:tblCellMar>
        <w:tblLook w:val="04A0"/>
      </w:tblPr>
      <w:tblGrid>
        <w:gridCol w:w="9445"/>
      </w:tblGrid>
      <w:tr w:rsidR="00487C31" w:rsidRPr="0051510E" w:rsidTr="00487C31">
        <w:trPr>
          <w:tblCellSpacing w:w="15" w:type="dxa"/>
        </w:trPr>
        <w:tc>
          <w:tcPr>
            <w:tcW w:w="0" w:type="auto"/>
            <w:vAlign w:val="center"/>
            <w:hideMark/>
          </w:tcPr>
          <w:p w:rsidR="00487C31" w:rsidRPr="0051510E" w:rsidRDefault="00487C31" w:rsidP="0051510E">
            <w:pPr>
              <w:ind w:firstLine="567"/>
              <w:jc w:val="center"/>
              <w:rPr>
                <w:rFonts w:eastAsia="Times New Roman"/>
                <w:sz w:val="26"/>
                <w:szCs w:val="26"/>
                <w:lang w:eastAsia="uk-UA"/>
              </w:rPr>
            </w:pPr>
          </w:p>
          <w:p w:rsidR="00487C31" w:rsidRDefault="00487C31" w:rsidP="0051510E">
            <w:pPr>
              <w:ind w:firstLine="567"/>
              <w:jc w:val="center"/>
              <w:rPr>
                <w:rFonts w:eastAsia="Times New Roman"/>
                <w:sz w:val="26"/>
                <w:szCs w:val="26"/>
                <w:u w:val="single"/>
                <w:lang w:val="ru-RU" w:eastAsia="uk-UA"/>
              </w:rPr>
            </w:pPr>
            <w:r w:rsidRPr="0051510E">
              <w:rPr>
                <w:rFonts w:eastAsia="Times New Roman"/>
                <w:sz w:val="26"/>
                <w:szCs w:val="26"/>
                <w:u w:val="single"/>
                <w:lang w:eastAsia="uk-UA"/>
              </w:rPr>
              <w:t>Екологічні аспекти</w:t>
            </w:r>
          </w:p>
          <w:p w:rsidR="00AA5707" w:rsidRPr="00AA5707" w:rsidRDefault="00AA5707" w:rsidP="0051510E">
            <w:pPr>
              <w:ind w:firstLine="567"/>
              <w:jc w:val="center"/>
              <w:rPr>
                <w:rFonts w:eastAsia="Times New Roman"/>
                <w:sz w:val="26"/>
                <w:szCs w:val="26"/>
                <w:u w:val="single"/>
                <w:lang w:val="ru-RU" w:eastAsia="uk-UA"/>
              </w:rPr>
            </w:pPr>
          </w:p>
        </w:tc>
      </w:tr>
      <w:tr w:rsidR="00487C31" w:rsidRPr="0051510E" w:rsidTr="00487C31">
        <w:trPr>
          <w:tblCellSpacing w:w="15" w:type="dxa"/>
        </w:trPr>
        <w:tc>
          <w:tcPr>
            <w:tcW w:w="0" w:type="auto"/>
            <w:vAlign w:val="center"/>
            <w:hideMark/>
          </w:tcPr>
          <w:p w:rsidR="00487C31" w:rsidRPr="0051510E" w:rsidRDefault="00487C31"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Діяльність Товариства не має впливу на екологічні аспекти, оскільки діяльність Товариства здійснюється у фінансовій сфері.</w:t>
            </w:r>
          </w:p>
        </w:tc>
      </w:tr>
    </w:tbl>
    <w:p w:rsidR="00487C31" w:rsidRPr="0051510E" w:rsidRDefault="00487C31" w:rsidP="0051510E">
      <w:pPr>
        <w:ind w:firstLine="567"/>
        <w:jc w:val="both"/>
        <w:rPr>
          <w:sz w:val="26"/>
          <w:szCs w:val="26"/>
        </w:rPr>
      </w:pPr>
    </w:p>
    <w:tbl>
      <w:tblPr>
        <w:tblW w:w="0" w:type="auto"/>
        <w:tblCellSpacing w:w="15" w:type="dxa"/>
        <w:tblCellMar>
          <w:top w:w="15" w:type="dxa"/>
          <w:left w:w="15" w:type="dxa"/>
          <w:bottom w:w="15" w:type="dxa"/>
          <w:right w:w="15" w:type="dxa"/>
        </w:tblCellMar>
        <w:tblLook w:val="04A0"/>
      </w:tblPr>
      <w:tblGrid>
        <w:gridCol w:w="9445"/>
      </w:tblGrid>
      <w:tr w:rsidR="00487C31" w:rsidRPr="0051510E" w:rsidTr="00487C31">
        <w:trPr>
          <w:tblCellSpacing w:w="15" w:type="dxa"/>
        </w:trPr>
        <w:tc>
          <w:tcPr>
            <w:tcW w:w="0" w:type="auto"/>
            <w:vAlign w:val="center"/>
            <w:hideMark/>
          </w:tcPr>
          <w:p w:rsidR="00487C31" w:rsidRPr="0051510E" w:rsidRDefault="00487C31"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t>Соціальні аспекти та кадрова політика</w:t>
            </w:r>
          </w:p>
        </w:tc>
      </w:tr>
      <w:tr w:rsidR="00487C31" w:rsidRPr="0051510E" w:rsidTr="00487C31">
        <w:trPr>
          <w:tblCellSpacing w:w="15" w:type="dxa"/>
        </w:trPr>
        <w:tc>
          <w:tcPr>
            <w:tcW w:w="0" w:type="auto"/>
            <w:vAlign w:val="center"/>
            <w:hideMark/>
          </w:tcPr>
          <w:p w:rsidR="00487C31" w:rsidRPr="0051510E" w:rsidRDefault="00487C31" w:rsidP="0051510E">
            <w:pPr>
              <w:ind w:firstLine="567"/>
              <w:jc w:val="both"/>
              <w:rPr>
                <w:rFonts w:eastAsia="Times New Roman"/>
                <w:sz w:val="26"/>
                <w:szCs w:val="26"/>
                <w:lang w:eastAsia="uk-UA"/>
              </w:rPr>
            </w:pPr>
            <w:r w:rsidRPr="0051510E">
              <w:rPr>
                <w:rFonts w:eastAsia="Times New Roman"/>
                <w:color w:val="000000"/>
                <w:sz w:val="26"/>
                <w:szCs w:val="26"/>
                <w:lang w:eastAsia="uk-UA"/>
              </w:rPr>
              <w:t>Головною цінністю підприємства є персонал.</w:t>
            </w:r>
          </w:p>
          <w:p w:rsidR="00487C31" w:rsidRPr="0051510E" w:rsidRDefault="00487C31" w:rsidP="0051510E">
            <w:pPr>
              <w:ind w:firstLine="567"/>
              <w:jc w:val="both"/>
              <w:rPr>
                <w:rFonts w:eastAsia="Times New Roman"/>
                <w:sz w:val="26"/>
                <w:szCs w:val="26"/>
                <w:lang w:eastAsia="uk-UA"/>
              </w:rPr>
            </w:pPr>
            <w:r w:rsidRPr="0051510E">
              <w:rPr>
                <w:rFonts w:eastAsia="Times New Roman"/>
                <w:color w:val="000000"/>
                <w:sz w:val="26"/>
                <w:szCs w:val="26"/>
                <w:lang w:eastAsia="uk-UA"/>
              </w:rPr>
              <w:t>Підприємство надає рівні права особам при працевлаштуванні та рівні можливості подальшого розвитку персоналу та його кар’єрного росту виключно за принципом відповідності профілю необхідних професійних компетенцій.</w:t>
            </w:r>
          </w:p>
          <w:p w:rsidR="00487C31" w:rsidRPr="0051510E" w:rsidRDefault="00487C31" w:rsidP="0051510E">
            <w:pPr>
              <w:ind w:firstLine="567"/>
              <w:jc w:val="both"/>
              <w:rPr>
                <w:rFonts w:eastAsia="Times New Roman"/>
                <w:color w:val="000000"/>
                <w:sz w:val="26"/>
                <w:szCs w:val="26"/>
                <w:lang w:eastAsia="uk-UA"/>
              </w:rPr>
            </w:pPr>
            <w:r w:rsidRPr="0051510E">
              <w:rPr>
                <w:rFonts w:eastAsia="Times New Roman"/>
                <w:color w:val="000000"/>
                <w:sz w:val="26"/>
                <w:szCs w:val="26"/>
                <w:lang w:eastAsia="uk-UA"/>
              </w:rPr>
              <w:t>Принципи рівності прав та поваги прав робітників використовуються в усіх сферах регулювання трудових відносин незалежно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сімейного та майнового стану, сімейних обов’язків, місця проживання, за мовними або іншими ознаками, не пов’язаними з характером роботи або умовами її виконання.</w:t>
            </w:r>
          </w:p>
          <w:p w:rsidR="00487C31" w:rsidRPr="0051510E" w:rsidRDefault="00487C31" w:rsidP="0051510E">
            <w:pPr>
              <w:pStyle w:val="a4"/>
              <w:spacing w:before="0" w:beforeAutospacing="0" w:after="0" w:afterAutospacing="0"/>
              <w:ind w:firstLine="567"/>
              <w:jc w:val="both"/>
              <w:rPr>
                <w:sz w:val="26"/>
                <w:szCs w:val="26"/>
              </w:rPr>
            </w:pPr>
            <w:r w:rsidRPr="0051510E">
              <w:rPr>
                <w:color w:val="000000"/>
                <w:sz w:val="26"/>
                <w:szCs w:val="26"/>
              </w:rPr>
              <w:t>Середня кількість працівників за 2023 р</w:t>
            </w:r>
            <w:r w:rsidR="00DF17D5" w:rsidRPr="0051510E">
              <w:rPr>
                <w:color w:val="000000"/>
                <w:sz w:val="26"/>
                <w:szCs w:val="26"/>
              </w:rPr>
              <w:t>і</w:t>
            </w:r>
            <w:r w:rsidRPr="0051510E">
              <w:rPr>
                <w:color w:val="000000"/>
                <w:sz w:val="26"/>
                <w:szCs w:val="26"/>
              </w:rPr>
              <w:t>к склала 4 особи.</w:t>
            </w:r>
          </w:p>
          <w:p w:rsidR="00487C31" w:rsidRPr="0051510E" w:rsidRDefault="00487C31" w:rsidP="0051510E">
            <w:pPr>
              <w:pStyle w:val="a4"/>
              <w:spacing w:before="0" w:beforeAutospacing="0" w:after="0" w:afterAutospacing="0"/>
              <w:ind w:firstLine="567"/>
              <w:jc w:val="both"/>
              <w:rPr>
                <w:color w:val="000000"/>
                <w:sz w:val="26"/>
                <w:szCs w:val="26"/>
              </w:rPr>
            </w:pPr>
            <w:r w:rsidRPr="0051510E">
              <w:rPr>
                <w:color w:val="000000"/>
                <w:sz w:val="26"/>
                <w:szCs w:val="26"/>
              </w:rPr>
              <w:t>Гарантії в частині соціальних стандартів, заохочень та мотивації:</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офіційне працевлаштування;</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lastRenderedPageBreak/>
              <w:t>стабільна виплата заробітної плати;</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оплата тимчасової непрацездатності;</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оплачувані відпустки;</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матеріальна допомога;</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навчання за рахунок підприємства.</w:t>
            </w:r>
          </w:p>
          <w:p w:rsidR="00553D7F" w:rsidRPr="0051510E" w:rsidRDefault="00553D7F" w:rsidP="0051510E">
            <w:pPr>
              <w:pStyle w:val="a4"/>
              <w:spacing w:before="0" w:beforeAutospacing="0" w:after="0" w:afterAutospacing="0"/>
              <w:ind w:firstLine="567"/>
              <w:jc w:val="both"/>
              <w:rPr>
                <w:color w:val="000000"/>
                <w:sz w:val="26"/>
                <w:szCs w:val="26"/>
              </w:rPr>
            </w:pPr>
          </w:p>
          <w:p w:rsidR="00553D7F" w:rsidRPr="0051510E" w:rsidRDefault="00553D7F" w:rsidP="0051510E">
            <w:pPr>
              <w:pStyle w:val="a4"/>
              <w:spacing w:before="0" w:beforeAutospacing="0" w:after="0" w:afterAutospacing="0"/>
              <w:ind w:right="708" w:firstLine="567"/>
              <w:jc w:val="center"/>
              <w:rPr>
                <w:color w:val="000000"/>
                <w:sz w:val="26"/>
                <w:szCs w:val="26"/>
                <w:u w:val="single"/>
              </w:rPr>
            </w:pPr>
            <w:r w:rsidRPr="0051510E">
              <w:rPr>
                <w:color w:val="000000"/>
                <w:sz w:val="26"/>
                <w:szCs w:val="26"/>
                <w:u w:val="single"/>
              </w:rPr>
              <w:t>Ризики</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    В процесі своєї господарської діяльності Товариство схильне до ряду ризиків, що притаманні як сфері професійної діяльності зокрема, так і господарській діяльності в цілому. </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ЗагальнаполітикаТовариства по управлінню ризиками націлена на визначення, аналіз і управління ризиками, з якими стикається Товариство, на встановлення контролю за ризиками а також постійний моніторинг за рівнем ризиків, дотримання встановлених обмежень та політики управління ризиками зметою мінімізації потенційних наслідків для Товариства. Оперативний і юридичний контроль має на меті забезпечувати належне функціонування внутрішньої політики та процедур.</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Система управління ризиками Товариства складається з сукупності визначених правил та процедур, спрямованих на виявлення, оцінку та правління ризиками діяльності з урахуванням її профілю ризиків (сукупності властивих її видів ризику). </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Система відповідних заходів із запобігання та мінімізації впливу ризиків скла</w:t>
            </w:r>
          </w:p>
          <w:p w:rsidR="00553D7F" w:rsidRPr="0051510E" w:rsidRDefault="00553D7F" w:rsidP="0051510E">
            <w:pPr>
              <w:ind w:firstLine="567"/>
              <w:jc w:val="both"/>
              <w:rPr>
                <w:rFonts w:eastAsia="Times New Roman"/>
                <w:sz w:val="26"/>
                <w:szCs w:val="26"/>
                <w:lang w:val="ru-RU" w:eastAsia="uk-UA"/>
              </w:rPr>
            </w:pPr>
            <w:r w:rsidRPr="0051510E">
              <w:rPr>
                <w:rFonts w:eastAsia="Times New Roman"/>
                <w:sz w:val="26"/>
                <w:szCs w:val="26"/>
                <w:lang w:eastAsia="uk-UA"/>
              </w:rPr>
              <w:t>дається з таких елементів:</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внутрішній</w:t>
            </w:r>
            <w:r w:rsidR="00553D7F" w:rsidRPr="0051510E">
              <w:rPr>
                <w:rFonts w:eastAsia="Times New Roman"/>
                <w:sz w:val="26"/>
                <w:szCs w:val="26"/>
                <w:lang w:eastAsia="uk-UA"/>
              </w:rPr>
              <w:t xml:space="preserve"> контроль/аудит (відповідальний працівник) </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корпоративне</w:t>
            </w:r>
            <w:r w:rsidR="00553D7F" w:rsidRPr="0051510E">
              <w:rPr>
                <w:rFonts w:eastAsia="Times New Roman"/>
                <w:sz w:val="26"/>
                <w:szCs w:val="26"/>
                <w:lang w:eastAsia="uk-UA"/>
              </w:rPr>
              <w:t xml:space="preserve"> управління (організаційна структура,підпорядкування та функції посадових осіб та працівників, розподіл прав і обов’язків, правила та процедури прийняття рішень, щодо діяльності та контролю).</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Серед ризиків Товариство</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визначає істотні ризики для нього, тобто реалізація яких буде мати істотний вплив на діяльність або фінансовий стан, визначає заходи щодо запобігання та мінімізації впливу. </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істотним</w:t>
            </w:r>
            <w:r w:rsidR="00553D7F" w:rsidRPr="0051510E">
              <w:rPr>
                <w:rFonts w:eastAsia="Times New Roman"/>
                <w:sz w:val="26"/>
                <w:szCs w:val="26"/>
                <w:lang w:eastAsia="uk-UA"/>
              </w:rPr>
              <w:t>для себе розглядає кредитний, ринковий, операційний ризик та ризик ліквідності.</w:t>
            </w:r>
          </w:p>
          <w:tbl>
            <w:tblPr>
              <w:tblW w:w="0" w:type="auto"/>
              <w:tblCellSpacing w:w="15" w:type="dxa"/>
              <w:tblCellMar>
                <w:top w:w="15" w:type="dxa"/>
                <w:left w:w="15" w:type="dxa"/>
                <w:bottom w:w="15" w:type="dxa"/>
                <w:right w:w="15" w:type="dxa"/>
              </w:tblCellMar>
              <w:tblLook w:val="04A0"/>
            </w:tblPr>
            <w:tblGrid>
              <w:gridCol w:w="9355"/>
            </w:tblGrid>
            <w:tr w:rsidR="008F7B3B" w:rsidRPr="0051510E" w:rsidTr="008F7B3B">
              <w:trPr>
                <w:tblCellSpacing w:w="15" w:type="dxa"/>
              </w:trPr>
              <w:tc>
                <w:tcPr>
                  <w:tcW w:w="0" w:type="auto"/>
                  <w:vAlign w:val="center"/>
                  <w:hideMark/>
                </w:tcPr>
                <w:p w:rsidR="008F7B3B" w:rsidRPr="0051510E" w:rsidRDefault="008F7B3B"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кредитного ризику</w:t>
                  </w:r>
                </w:p>
              </w:tc>
            </w:tr>
            <w:tr w:rsidR="008F7B3B" w:rsidRPr="0051510E" w:rsidTr="008F7B3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45"/>
                    <w:gridCol w:w="9175"/>
                    <w:gridCol w:w="45"/>
                  </w:tblGrid>
                  <w:tr w:rsidR="00462132" w:rsidRPr="0051510E" w:rsidTr="00462132">
                    <w:trPr>
                      <w:gridBefore w:val="1"/>
                      <w:gridAfter w:val="1"/>
                      <w:tblCellSpacing w:w="15" w:type="dxa"/>
                    </w:trPr>
                    <w:tc>
                      <w:tcPr>
                        <w:tcW w:w="0" w:type="auto"/>
                        <w:vAlign w:val="center"/>
                        <w:hideMark/>
                      </w:tcPr>
                      <w:p w:rsidR="00462132" w:rsidRPr="0051510E" w:rsidRDefault="008F7B3B" w:rsidP="0051510E">
                        <w:pPr>
                          <w:ind w:firstLine="567"/>
                          <w:jc w:val="both"/>
                          <w:rPr>
                            <w:rFonts w:eastAsia="Times New Roman"/>
                            <w:sz w:val="26"/>
                            <w:szCs w:val="26"/>
                            <w:lang w:eastAsia="uk-UA"/>
                          </w:rPr>
                        </w:pPr>
                        <w:r w:rsidRPr="0051510E">
                          <w:rPr>
                            <w:rFonts w:eastAsia="Times New Roman"/>
                            <w:sz w:val="26"/>
                            <w:szCs w:val="26"/>
                            <w:lang w:eastAsia="uk-UA"/>
                          </w:rPr>
                          <w:t xml:space="preserve">Товариство управляє кредитним ризиком шляхом встановлення граничного розміру ризику, який вона готова прийняти по окремих контрагентах, а також за допомогою моніторингу дотримання встановлених лімітів ризику. Компанія має можливість зниження ризиків потенційних втрат у разі невиконання позичальниками умов відповідних договорів. З метою нівелювання кредитних ризиків кредити надаються під ліквідну заставу. Компанія регулярно аналізує та здійснює </w:t>
                        </w:r>
                        <w:proofErr w:type="spellStart"/>
                        <w:r w:rsidRPr="0051510E">
                          <w:rPr>
                            <w:rFonts w:eastAsia="Times New Roman"/>
                            <w:sz w:val="26"/>
                            <w:szCs w:val="26"/>
                            <w:lang w:eastAsia="uk-UA"/>
                          </w:rPr>
                          <w:t>валідацію</w:t>
                        </w:r>
                        <w:proofErr w:type="spellEnd"/>
                        <w:r w:rsidRPr="0051510E">
                          <w:rPr>
                            <w:rFonts w:eastAsia="Times New Roman"/>
                            <w:sz w:val="26"/>
                            <w:szCs w:val="26"/>
                            <w:lang w:eastAsia="uk-UA"/>
                          </w:rPr>
                          <w:t xml:space="preserve"> моделей і вхідних параметрів для мінімізації різниці між оцінкою очікуваного кредитного збитку та фактичним кредитним збитком. Система управління кредитним ризиком в Компанії послідовно проходить наступні етапи: ідентифікація ризику; оцінка наслідків настання ризиків; вибір рішень управлінського впливу (управління ризиком); контроль (моніторинг та </w:t>
                        </w:r>
                        <w:r w:rsidRPr="0051510E">
                          <w:rPr>
                            <w:rFonts w:eastAsia="Times New Roman"/>
                            <w:sz w:val="26"/>
                            <w:szCs w:val="26"/>
                            <w:lang w:eastAsia="uk-UA"/>
                          </w:rPr>
                          <w:lastRenderedPageBreak/>
                          <w:t>управління, звітність, відповідальність). Оцінці підлягають наступні фактори кредитного ризику: фактори індивідуальних ризиків (вірогідність дефолту за кредитними умовами, умови кредитування, структура видач кредитів); фактори сукупних ризиків (рівень дефолту за кредитними умовами,). Основними цілями управління кредитним ризиком є: попередження ризику (досягається шляхом ліквідації передумов виникнення кредитного ризику); підтримка співвідношення ризик/доходність на певному рівні; мінімізація ризику.</w:t>
                        </w:r>
                      </w:p>
                      <w:p w:rsidR="00462132" w:rsidRPr="0051510E" w:rsidRDefault="00462132"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ринкового ризику</w:t>
                        </w:r>
                      </w:p>
                    </w:tc>
                  </w:tr>
                  <w:tr w:rsidR="00462132" w:rsidRPr="0051510E" w:rsidTr="00462132">
                    <w:trPr>
                      <w:gridBefore w:val="1"/>
                      <w:gridAfter w:val="1"/>
                      <w:tblCellSpacing w:w="15" w:type="dxa"/>
                    </w:trPr>
                    <w:tc>
                      <w:tcPr>
                        <w:tcW w:w="0" w:type="auto"/>
                        <w:vAlign w:val="center"/>
                        <w:hideMark/>
                      </w:tcPr>
                      <w:p w:rsidR="00462132" w:rsidRPr="0051510E" w:rsidRDefault="00462132"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lastRenderedPageBreak/>
                          <w:t>Ринковий ризик охоплює три типи ризику: інший ціновий ризик, валютний ризик та відсотковий ризик. Керівництво встановлює ліміти щодо рівня ризиків, які можуть бути прийняті, які контролюються на щоденній основі. Однак використання цього підходу не дозволяє запобігти утворенню збитків, що перевищують встановлені ліміти, в разі більш істотних змін на ринку.</w:t>
                        </w:r>
                      </w:p>
                    </w:tc>
                  </w:tr>
                  <w:tr w:rsidR="00462132" w:rsidRPr="0051510E" w:rsidTr="00462132">
                    <w:trPr>
                      <w:tblCellSpacing w:w="15" w:type="dxa"/>
                    </w:trPr>
                    <w:tc>
                      <w:tcPr>
                        <w:tcW w:w="0" w:type="auto"/>
                        <w:gridSpan w:val="3"/>
                        <w:vAlign w:val="center"/>
                        <w:hideMark/>
                      </w:tcPr>
                      <w:p w:rsidR="00462132" w:rsidRPr="0051510E" w:rsidRDefault="00462132"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валютного ризику</w:t>
                        </w:r>
                      </w:p>
                    </w:tc>
                  </w:tr>
                  <w:tr w:rsidR="00462132" w:rsidRPr="0051510E" w:rsidTr="00462132">
                    <w:trPr>
                      <w:tblCellSpacing w:w="15" w:type="dxa"/>
                    </w:trPr>
                    <w:tc>
                      <w:tcPr>
                        <w:tcW w:w="0" w:type="auto"/>
                        <w:gridSpan w:val="3"/>
                        <w:vAlign w:val="center"/>
                        <w:hideMark/>
                      </w:tcPr>
                      <w:p w:rsidR="00462132" w:rsidRPr="0051510E" w:rsidRDefault="00462132"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 Для мінімізації та контролю за валютними ризиками Товариство не має активів, номінованих в іноземній валюті, у загальному обсягу активів.</w:t>
                        </w:r>
                      </w:p>
                    </w:tc>
                  </w:tr>
                </w:tbl>
                <w:p w:rsidR="008F7B3B" w:rsidRPr="0051510E" w:rsidRDefault="008F7B3B" w:rsidP="0051510E">
                  <w:pPr>
                    <w:spacing w:before="100" w:beforeAutospacing="1" w:after="100" w:afterAutospacing="1"/>
                    <w:ind w:firstLine="567"/>
                    <w:jc w:val="both"/>
                    <w:rPr>
                      <w:rFonts w:eastAsia="Times New Roman"/>
                      <w:sz w:val="26"/>
                      <w:szCs w:val="26"/>
                      <w:lang w:eastAsia="uk-UA"/>
                    </w:rPr>
                  </w:pPr>
                </w:p>
              </w:tc>
            </w:tr>
          </w:tbl>
          <w:p w:rsidR="008F7B3B" w:rsidRPr="0051510E" w:rsidRDefault="008F7B3B" w:rsidP="0051510E">
            <w:pPr>
              <w:ind w:firstLine="567"/>
              <w:jc w:val="both"/>
              <w:rPr>
                <w:rFonts w:eastAsia="Times New Roman"/>
                <w:sz w:val="26"/>
                <w:szCs w:val="26"/>
                <w:lang w:eastAsia="uk-UA"/>
              </w:rPr>
            </w:pPr>
          </w:p>
          <w:tbl>
            <w:tblPr>
              <w:tblW w:w="0" w:type="auto"/>
              <w:tblCellSpacing w:w="15" w:type="dxa"/>
              <w:tblCellMar>
                <w:top w:w="15" w:type="dxa"/>
                <w:left w:w="15" w:type="dxa"/>
                <w:bottom w:w="15" w:type="dxa"/>
                <w:right w:w="15" w:type="dxa"/>
              </w:tblCellMar>
              <w:tblLook w:val="04A0"/>
            </w:tblPr>
            <w:tblGrid>
              <w:gridCol w:w="9355"/>
            </w:tblGrid>
            <w:tr w:rsidR="00D45426" w:rsidRPr="0051510E" w:rsidTr="00D45426">
              <w:trPr>
                <w:tblCellSpacing w:w="15" w:type="dxa"/>
              </w:trPr>
              <w:tc>
                <w:tcPr>
                  <w:tcW w:w="0" w:type="auto"/>
                  <w:vAlign w:val="center"/>
                  <w:hideMark/>
                </w:tcPr>
                <w:p w:rsidR="00D45426" w:rsidRPr="0051510E" w:rsidRDefault="00D45426"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t>Опис діяльності у сфері досліджень та інновацій</w:t>
                  </w:r>
                </w:p>
              </w:tc>
            </w:tr>
            <w:tr w:rsidR="00D45426" w:rsidRPr="0051510E" w:rsidTr="00D45426">
              <w:trPr>
                <w:tblCellSpacing w:w="15" w:type="dxa"/>
              </w:trPr>
              <w:tc>
                <w:tcPr>
                  <w:tcW w:w="0" w:type="auto"/>
                  <w:vAlign w:val="center"/>
                  <w:hideMark/>
                </w:tcPr>
                <w:p w:rsidR="00D45426" w:rsidRPr="0051510E" w:rsidRDefault="00D45426"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Дослідження ринку та вивчення конкурентного середовища є обов’язковою складовою в діяльності Товариства. Отримані дані дозволяють обирати напрямки розвитку Товариства, формувати унікальні пропозиції для клієнтів – позичальників. Зокрема: – дані про активність конкурентів на ринку ломбардного кредитування,– дослідження кредитних пропозицій і послуг, присутніх на ринку, впливає на інноваційні процеси в Товариства</w:t>
                  </w:r>
                  <w:r w:rsidRPr="0051510E">
                    <w:rPr>
                      <w:rFonts w:eastAsia="Times New Roman"/>
                      <w:sz w:val="26"/>
                      <w:szCs w:val="26"/>
                      <w:lang w:val="ru-RU" w:eastAsia="uk-UA"/>
                    </w:rPr>
                    <w:t>,</w:t>
                  </w:r>
                  <w:r w:rsidRPr="0051510E">
                    <w:rPr>
                      <w:rFonts w:eastAsia="Times New Roman"/>
                      <w:sz w:val="26"/>
                      <w:szCs w:val="26"/>
                      <w:lang w:eastAsia="uk-UA"/>
                    </w:rPr>
                    <w:t xml:space="preserve">– розширення видів заставного майна, постійне вдосконалення умов кредитування. У найближчому майбутньому компанія продовжуватиме здійснювати важливі кроки. Основна задача для напрямку розвитку компанії – збільшення кількості клієнтів шляхом створення зручних умов. Наразі основною метою нашої команди лишається стабілізація роботи компанії, щоб вона почала працювати як сучасна фінансова компанія. </w:t>
                  </w:r>
                </w:p>
              </w:tc>
            </w:tr>
          </w:tbl>
          <w:p w:rsidR="00553D7F" w:rsidRPr="0051510E" w:rsidRDefault="00553D7F" w:rsidP="0051510E">
            <w:pPr>
              <w:pStyle w:val="a4"/>
              <w:spacing w:before="0" w:beforeAutospacing="0" w:after="0" w:afterAutospacing="0"/>
              <w:ind w:firstLine="567"/>
              <w:jc w:val="both"/>
              <w:rPr>
                <w:sz w:val="26"/>
                <w:szCs w:val="26"/>
              </w:rPr>
            </w:pPr>
          </w:p>
          <w:tbl>
            <w:tblPr>
              <w:tblW w:w="0" w:type="auto"/>
              <w:tblCellSpacing w:w="15" w:type="dxa"/>
              <w:tblCellMar>
                <w:top w:w="15" w:type="dxa"/>
                <w:left w:w="15" w:type="dxa"/>
                <w:bottom w:w="15" w:type="dxa"/>
                <w:right w:w="15" w:type="dxa"/>
              </w:tblCellMar>
              <w:tblLook w:val="04A0"/>
            </w:tblPr>
            <w:tblGrid>
              <w:gridCol w:w="9355"/>
            </w:tblGrid>
            <w:tr w:rsidR="0047607B" w:rsidRPr="0051510E" w:rsidTr="0047607B">
              <w:trPr>
                <w:tblCellSpacing w:w="15" w:type="dxa"/>
              </w:trPr>
              <w:tc>
                <w:tcPr>
                  <w:tcW w:w="0" w:type="auto"/>
                  <w:vAlign w:val="center"/>
                  <w:hideMark/>
                </w:tcPr>
                <w:p w:rsidR="0047607B" w:rsidRPr="0051510E" w:rsidRDefault="0047607B"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t>Ймовірні перспективи подальшого розвитку (в тому числі інформація про злиття чи поглинання)</w:t>
                  </w:r>
                </w:p>
              </w:tc>
            </w:tr>
            <w:tr w:rsidR="0047607B" w:rsidRPr="0051510E" w:rsidTr="0047607B">
              <w:trPr>
                <w:tblCellSpacing w:w="15" w:type="dxa"/>
              </w:trPr>
              <w:tc>
                <w:tcPr>
                  <w:tcW w:w="0" w:type="auto"/>
                  <w:vAlign w:val="center"/>
                  <w:hideMark/>
                </w:tcPr>
                <w:p w:rsidR="0047607B" w:rsidRPr="0051510E" w:rsidRDefault="00DF17D5"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 xml:space="preserve">У </w:t>
                  </w:r>
                  <w:r w:rsidR="0047607B" w:rsidRPr="0051510E">
                    <w:rPr>
                      <w:rFonts w:eastAsia="Times New Roman"/>
                      <w:sz w:val="26"/>
                      <w:szCs w:val="26"/>
                      <w:lang w:eastAsia="uk-UA"/>
                    </w:rPr>
                    <w:t>н</w:t>
                  </w:r>
                  <w:bookmarkStart w:id="0" w:name="_GoBack"/>
                  <w:bookmarkEnd w:id="0"/>
                  <w:r w:rsidR="0047607B" w:rsidRPr="0051510E">
                    <w:rPr>
                      <w:rFonts w:eastAsia="Times New Roman"/>
                      <w:sz w:val="26"/>
                      <w:szCs w:val="26"/>
                      <w:lang w:eastAsia="uk-UA"/>
                    </w:rPr>
                    <w:t>айближчому майбутньому компанія продовжуватиме здійснювати важливі кроки. Основна задача для напрямку розвитку компанії – збільшення кількості клієнтів шляхом створення зручних умов. Перспективи щодо злиття чи поглинання не розглядались.</w:t>
                  </w:r>
                </w:p>
              </w:tc>
            </w:tr>
          </w:tbl>
          <w:p w:rsidR="00487C31" w:rsidRPr="0051510E" w:rsidRDefault="00487C31" w:rsidP="0051510E">
            <w:pPr>
              <w:ind w:firstLine="567"/>
              <w:jc w:val="both"/>
              <w:rPr>
                <w:rFonts w:eastAsia="Times New Roman"/>
                <w:sz w:val="26"/>
                <w:szCs w:val="26"/>
                <w:lang w:eastAsia="uk-UA"/>
              </w:rPr>
            </w:pPr>
          </w:p>
        </w:tc>
      </w:tr>
    </w:tbl>
    <w:p w:rsidR="00DF17D5" w:rsidRPr="0051510E" w:rsidRDefault="00DF17D5" w:rsidP="0051510E">
      <w:pPr>
        <w:ind w:firstLine="567"/>
        <w:jc w:val="both"/>
        <w:rPr>
          <w:sz w:val="26"/>
          <w:szCs w:val="26"/>
        </w:rPr>
      </w:pPr>
    </w:p>
    <w:p w:rsidR="00DF17D5" w:rsidRPr="0051510E" w:rsidRDefault="00DF17D5" w:rsidP="0051510E">
      <w:pPr>
        <w:ind w:firstLine="567"/>
        <w:jc w:val="both"/>
        <w:rPr>
          <w:sz w:val="26"/>
          <w:szCs w:val="26"/>
        </w:rPr>
      </w:pPr>
      <w:r w:rsidRPr="0051510E">
        <w:rPr>
          <w:sz w:val="26"/>
          <w:szCs w:val="26"/>
        </w:rPr>
        <w:t xml:space="preserve">           Директор                                                    Н.О. Соколенко</w:t>
      </w:r>
    </w:p>
    <w:p w:rsidR="00DF17D5" w:rsidRPr="0051510E" w:rsidRDefault="00DF17D5" w:rsidP="0051510E">
      <w:pPr>
        <w:ind w:firstLine="567"/>
        <w:jc w:val="both"/>
        <w:rPr>
          <w:sz w:val="26"/>
          <w:szCs w:val="26"/>
        </w:rPr>
      </w:pPr>
    </w:p>
    <w:p w:rsidR="00AA5707" w:rsidRDefault="00AA5707" w:rsidP="0051510E">
      <w:pPr>
        <w:ind w:firstLine="567"/>
        <w:jc w:val="both"/>
        <w:rPr>
          <w:sz w:val="26"/>
          <w:szCs w:val="26"/>
          <w:lang w:val="ru-RU"/>
        </w:rPr>
      </w:pPr>
    </w:p>
    <w:p w:rsidR="00DF17D5" w:rsidRPr="0051510E" w:rsidRDefault="00DF17D5" w:rsidP="0051510E">
      <w:pPr>
        <w:ind w:firstLine="567"/>
        <w:jc w:val="both"/>
        <w:rPr>
          <w:sz w:val="26"/>
          <w:szCs w:val="26"/>
        </w:rPr>
      </w:pPr>
      <w:r w:rsidRPr="0051510E">
        <w:rPr>
          <w:sz w:val="26"/>
          <w:szCs w:val="26"/>
        </w:rPr>
        <w:t xml:space="preserve">           Головний бухгалтер                                   А.Л. Соколенко </w:t>
      </w:r>
    </w:p>
    <w:sectPr w:rsidR="00DF17D5" w:rsidRPr="0051510E" w:rsidSect="0051510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70D2A"/>
    <w:multiLevelType w:val="hybridMultilevel"/>
    <w:tmpl w:val="42C4CCC4"/>
    <w:lvl w:ilvl="0" w:tplc="2CAC51C4">
      <w:numFmt w:val="bullet"/>
      <w:lvlText w:val="-"/>
      <w:lvlJc w:val="left"/>
      <w:pPr>
        <w:ind w:left="900" w:hanging="360"/>
      </w:pPr>
      <w:rPr>
        <w:rFonts w:ascii="Times New Roman" w:eastAsia="Calibr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6677"/>
    <w:rsid w:val="0010663E"/>
    <w:rsid w:val="00353B36"/>
    <w:rsid w:val="00353D89"/>
    <w:rsid w:val="00377CC6"/>
    <w:rsid w:val="00393E9C"/>
    <w:rsid w:val="00462132"/>
    <w:rsid w:val="0047607B"/>
    <w:rsid w:val="00487C31"/>
    <w:rsid w:val="0051510E"/>
    <w:rsid w:val="00553D7F"/>
    <w:rsid w:val="005E4081"/>
    <w:rsid w:val="00676CB3"/>
    <w:rsid w:val="006C2791"/>
    <w:rsid w:val="007A59AC"/>
    <w:rsid w:val="007C331C"/>
    <w:rsid w:val="008F7B3B"/>
    <w:rsid w:val="00992EC1"/>
    <w:rsid w:val="009D5992"/>
    <w:rsid w:val="00A64ECA"/>
    <w:rsid w:val="00A9141D"/>
    <w:rsid w:val="00AA5707"/>
    <w:rsid w:val="00AF0092"/>
    <w:rsid w:val="00AF741D"/>
    <w:rsid w:val="00B44A24"/>
    <w:rsid w:val="00B804B2"/>
    <w:rsid w:val="00B81B58"/>
    <w:rsid w:val="00BB2FC2"/>
    <w:rsid w:val="00D13822"/>
    <w:rsid w:val="00D45426"/>
    <w:rsid w:val="00D76D69"/>
    <w:rsid w:val="00DC594A"/>
    <w:rsid w:val="00DF17D5"/>
    <w:rsid w:val="00E06677"/>
    <w:rsid w:val="00E33BA9"/>
    <w:rsid w:val="00E652D8"/>
    <w:rsid w:val="00E96C4E"/>
    <w:rsid w:val="00EC5A5F"/>
    <w:rsid w:val="00F53EC0"/>
    <w:rsid w:val="00F60B1E"/>
    <w:rsid w:val="00F86A2A"/>
    <w:rsid w:val="00FA0FA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77"/>
    <w:pPr>
      <w:spacing w:after="0" w:line="240" w:lineRule="auto"/>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1C"/>
    <w:pPr>
      <w:ind w:left="720"/>
      <w:contextualSpacing/>
    </w:pPr>
  </w:style>
  <w:style w:type="paragraph" w:styleId="a4">
    <w:name w:val="Normal (Web)"/>
    <w:basedOn w:val="a"/>
    <w:uiPriority w:val="99"/>
    <w:unhideWhenUsed/>
    <w:rsid w:val="00E33BA9"/>
    <w:pPr>
      <w:spacing w:before="100" w:beforeAutospacing="1" w:after="100" w:afterAutospacing="1"/>
    </w:pPr>
    <w:rPr>
      <w:rFonts w:eastAsia="Times New Roman"/>
      <w:szCs w:val="24"/>
      <w:lang w:eastAsia="uk-UA"/>
    </w:rPr>
  </w:style>
  <w:style w:type="character" w:customStyle="1" w:styleId="rvts23">
    <w:name w:val="rvts23"/>
    <w:basedOn w:val="a0"/>
    <w:rsid w:val="00D76D69"/>
  </w:style>
  <w:style w:type="paragraph" w:customStyle="1" w:styleId="rvps6">
    <w:name w:val="rvps6"/>
    <w:basedOn w:val="a"/>
    <w:rsid w:val="00D76D69"/>
    <w:pPr>
      <w:spacing w:before="100" w:beforeAutospacing="1" w:after="100" w:afterAutospacing="1"/>
    </w:pPr>
    <w:rPr>
      <w:rFonts w:eastAsia="Times New Roman"/>
      <w:szCs w:val="24"/>
      <w:lang w:val="ru-RU" w:eastAsia="ru-RU"/>
    </w:rPr>
  </w:style>
  <w:style w:type="character" w:styleId="a5">
    <w:name w:val="Hyperlink"/>
    <w:basedOn w:val="a0"/>
    <w:uiPriority w:val="99"/>
    <w:unhideWhenUsed/>
    <w:rsid w:val="00F86A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333139">
      <w:bodyDiv w:val="1"/>
      <w:marLeft w:val="0"/>
      <w:marRight w:val="0"/>
      <w:marTop w:val="0"/>
      <w:marBottom w:val="0"/>
      <w:divBdr>
        <w:top w:val="none" w:sz="0" w:space="0" w:color="auto"/>
        <w:left w:val="none" w:sz="0" w:space="0" w:color="auto"/>
        <w:bottom w:val="none" w:sz="0" w:space="0" w:color="auto"/>
        <w:right w:val="none" w:sz="0" w:space="0" w:color="auto"/>
      </w:divBdr>
    </w:div>
    <w:div w:id="344678104">
      <w:bodyDiv w:val="1"/>
      <w:marLeft w:val="0"/>
      <w:marRight w:val="0"/>
      <w:marTop w:val="0"/>
      <w:marBottom w:val="0"/>
      <w:divBdr>
        <w:top w:val="none" w:sz="0" w:space="0" w:color="auto"/>
        <w:left w:val="none" w:sz="0" w:space="0" w:color="auto"/>
        <w:bottom w:val="none" w:sz="0" w:space="0" w:color="auto"/>
        <w:right w:val="none" w:sz="0" w:space="0" w:color="auto"/>
      </w:divBdr>
    </w:div>
    <w:div w:id="1025446199">
      <w:bodyDiv w:val="1"/>
      <w:marLeft w:val="0"/>
      <w:marRight w:val="0"/>
      <w:marTop w:val="0"/>
      <w:marBottom w:val="0"/>
      <w:divBdr>
        <w:top w:val="none" w:sz="0" w:space="0" w:color="auto"/>
        <w:left w:val="none" w:sz="0" w:space="0" w:color="auto"/>
        <w:bottom w:val="none" w:sz="0" w:space="0" w:color="auto"/>
        <w:right w:val="none" w:sz="0" w:space="0" w:color="auto"/>
      </w:divBdr>
    </w:div>
    <w:div w:id="1182007832">
      <w:bodyDiv w:val="1"/>
      <w:marLeft w:val="0"/>
      <w:marRight w:val="0"/>
      <w:marTop w:val="0"/>
      <w:marBottom w:val="0"/>
      <w:divBdr>
        <w:top w:val="none" w:sz="0" w:space="0" w:color="auto"/>
        <w:left w:val="none" w:sz="0" w:space="0" w:color="auto"/>
        <w:bottom w:val="none" w:sz="0" w:space="0" w:color="auto"/>
        <w:right w:val="none" w:sz="0" w:space="0" w:color="auto"/>
      </w:divBdr>
    </w:div>
    <w:div w:id="1250500001">
      <w:bodyDiv w:val="1"/>
      <w:marLeft w:val="0"/>
      <w:marRight w:val="0"/>
      <w:marTop w:val="0"/>
      <w:marBottom w:val="0"/>
      <w:divBdr>
        <w:top w:val="none" w:sz="0" w:space="0" w:color="auto"/>
        <w:left w:val="none" w:sz="0" w:space="0" w:color="auto"/>
        <w:bottom w:val="none" w:sz="0" w:space="0" w:color="auto"/>
        <w:right w:val="none" w:sz="0" w:space="0" w:color="auto"/>
      </w:divBdr>
    </w:div>
    <w:div w:id="1357344586">
      <w:bodyDiv w:val="1"/>
      <w:marLeft w:val="0"/>
      <w:marRight w:val="0"/>
      <w:marTop w:val="0"/>
      <w:marBottom w:val="0"/>
      <w:divBdr>
        <w:top w:val="none" w:sz="0" w:space="0" w:color="auto"/>
        <w:left w:val="none" w:sz="0" w:space="0" w:color="auto"/>
        <w:bottom w:val="none" w:sz="0" w:space="0" w:color="auto"/>
        <w:right w:val="none" w:sz="0" w:space="0" w:color="auto"/>
      </w:divBdr>
    </w:div>
    <w:div w:id="1417628254">
      <w:bodyDiv w:val="1"/>
      <w:marLeft w:val="0"/>
      <w:marRight w:val="0"/>
      <w:marTop w:val="0"/>
      <w:marBottom w:val="0"/>
      <w:divBdr>
        <w:top w:val="none" w:sz="0" w:space="0" w:color="auto"/>
        <w:left w:val="none" w:sz="0" w:space="0" w:color="auto"/>
        <w:bottom w:val="none" w:sz="0" w:space="0" w:color="auto"/>
        <w:right w:val="none" w:sz="0" w:space="0" w:color="auto"/>
      </w:divBdr>
    </w:div>
    <w:div w:id="1540119144">
      <w:bodyDiv w:val="1"/>
      <w:marLeft w:val="0"/>
      <w:marRight w:val="0"/>
      <w:marTop w:val="0"/>
      <w:marBottom w:val="0"/>
      <w:divBdr>
        <w:top w:val="none" w:sz="0" w:space="0" w:color="auto"/>
        <w:left w:val="none" w:sz="0" w:space="0" w:color="auto"/>
        <w:bottom w:val="none" w:sz="0" w:space="0" w:color="auto"/>
        <w:right w:val="none" w:sz="0" w:space="0" w:color="auto"/>
      </w:divBdr>
    </w:div>
    <w:div w:id="18985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v002720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8605</Words>
  <Characters>4905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2024-03-29T07:42:00Z</dcterms:created>
  <dcterms:modified xsi:type="dcterms:W3CDTF">2024-03-29T07:42:00Z</dcterms:modified>
</cp:coreProperties>
</file>