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3D" w:rsidRDefault="0043703D" w:rsidP="007B1B38">
      <w:pPr>
        <w:jc w:val="center"/>
      </w:pPr>
    </w:p>
    <w:p w:rsidR="009550D6" w:rsidRDefault="009550D6" w:rsidP="0043703D">
      <w:pPr>
        <w:pStyle w:val="Standard"/>
        <w:widowControl w:val="0"/>
        <w:jc w:val="center"/>
        <w:rPr>
          <w:rFonts w:ascii="Times New Roman" w:hAnsi="Times New Roman" w:cs="Times New Roman"/>
          <w:b/>
          <w:sz w:val="48"/>
          <w:szCs w:val="48"/>
        </w:rPr>
      </w:pPr>
    </w:p>
    <w:p w:rsidR="009550D6" w:rsidRDefault="009550D6" w:rsidP="0043703D">
      <w:pPr>
        <w:pStyle w:val="Standard"/>
        <w:widowControl w:val="0"/>
        <w:jc w:val="center"/>
        <w:rPr>
          <w:rFonts w:ascii="Times New Roman" w:hAnsi="Times New Roman" w:cs="Times New Roman"/>
          <w:b/>
          <w:sz w:val="48"/>
          <w:szCs w:val="48"/>
        </w:rPr>
      </w:pPr>
    </w:p>
    <w:p w:rsidR="009550D6" w:rsidRDefault="009550D6" w:rsidP="0043703D">
      <w:pPr>
        <w:pStyle w:val="Standard"/>
        <w:widowControl w:val="0"/>
        <w:jc w:val="center"/>
        <w:rPr>
          <w:rFonts w:ascii="Times New Roman" w:hAnsi="Times New Roman" w:cs="Times New Roman"/>
          <w:b/>
          <w:sz w:val="48"/>
          <w:szCs w:val="48"/>
        </w:rPr>
      </w:pPr>
    </w:p>
    <w:p w:rsidR="009550D6" w:rsidRDefault="009550D6" w:rsidP="0043703D">
      <w:pPr>
        <w:pStyle w:val="Standard"/>
        <w:widowControl w:val="0"/>
        <w:jc w:val="center"/>
        <w:rPr>
          <w:rFonts w:ascii="Times New Roman" w:hAnsi="Times New Roman" w:cs="Times New Roman"/>
          <w:b/>
          <w:sz w:val="48"/>
          <w:szCs w:val="48"/>
        </w:rPr>
      </w:pPr>
    </w:p>
    <w:p w:rsidR="0043703D" w:rsidRPr="00C15C86" w:rsidRDefault="0043703D" w:rsidP="0043703D">
      <w:pPr>
        <w:pStyle w:val="Standard"/>
        <w:widowControl w:val="0"/>
        <w:jc w:val="center"/>
        <w:rPr>
          <w:rFonts w:ascii="Times New Roman" w:hAnsi="Times New Roman" w:cs="Times New Roman"/>
          <w:b/>
          <w:sz w:val="48"/>
          <w:szCs w:val="48"/>
        </w:rPr>
      </w:pPr>
      <w:r w:rsidRPr="00C15C86">
        <w:rPr>
          <w:rFonts w:ascii="Times New Roman" w:hAnsi="Times New Roman" w:cs="Times New Roman"/>
          <w:b/>
          <w:sz w:val="48"/>
          <w:szCs w:val="48"/>
        </w:rPr>
        <w:t>РІЧНИЙ ФІНАНСОВИЙ ЗВІТ</w:t>
      </w:r>
    </w:p>
    <w:p w:rsidR="0043703D" w:rsidRDefault="0043703D" w:rsidP="0043703D">
      <w:pPr>
        <w:pStyle w:val="Standard"/>
        <w:widowControl w:val="0"/>
        <w:jc w:val="center"/>
        <w:rPr>
          <w:rStyle w:val="14"/>
          <w:rFonts w:ascii="Times New Roman" w:hAnsi="Times New Roman" w:cs="Times New Roman"/>
          <w:b/>
          <w:sz w:val="40"/>
          <w:szCs w:val="40"/>
        </w:rPr>
      </w:pPr>
      <w:r w:rsidRPr="00C15C86">
        <w:rPr>
          <w:rStyle w:val="14"/>
          <w:rFonts w:ascii="Times New Roman" w:hAnsi="Times New Roman" w:cs="Times New Roman"/>
          <w:b/>
          <w:sz w:val="40"/>
          <w:szCs w:val="40"/>
        </w:rPr>
        <w:t>за 201</w:t>
      </w:r>
      <w:r w:rsidR="0061533A">
        <w:rPr>
          <w:rStyle w:val="14"/>
          <w:rFonts w:ascii="Times New Roman" w:hAnsi="Times New Roman" w:cs="Times New Roman"/>
          <w:b/>
          <w:sz w:val="40"/>
          <w:szCs w:val="40"/>
          <w:lang w:val="ru-RU"/>
        </w:rPr>
        <w:t>9</w:t>
      </w:r>
      <w:r w:rsidRPr="00C15C86">
        <w:rPr>
          <w:rStyle w:val="14"/>
          <w:rFonts w:ascii="Times New Roman" w:hAnsi="Times New Roman" w:cs="Times New Roman"/>
          <w:b/>
          <w:sz w:val="40"/>
          <w:szCs w:val="40"/>
          <w:lang w:val="ru-RU"/>
        </w:rPr>
        <w:t xml:space="preserve"> р</w:t>
      </w:r>
      <w:r w:rsidRPr="00C15C86">
        <w:rPr>
          <w:rStyle w:val="14"/>
          <w:rFonts w:ascii="Times New Roman" w:hAnsi="Times New Roman" w:cs="Times New Roman"/>
          <w:b/>
          <w:sz w:val="40"/>
          <w:szCs w:val="40"/>
        </w:rPr>
        <w:t>ік</w:t>
      </w:r>
    </w:p>
    <w:p w:rsidR="0043703D" w:rsidRPr="0043703D" w:rsidRDefault="0043703D" w:rsidP="0043703D">
      <w:pPr>
        <w:pStyle w:val="Standard"/>
        <w:widowControl w:val="0"/>
        <w:jc w:val="center"/>
        <w:rPr>
          <w:rFonts w:ascii="Times New Roman" w:hAnsi="Times New Roman" w:cs="Times New Roman"/>
          <w:b/>
          <w:sz w:val="36"/>
          <w:szCs w:val="36"/>
        </w:rPr>
      </w:pPr>
    </w:p>
    <w:p w:rsidR="0043703D" w:rsidRPr="0043703D" w:rsidRDefault="0043703D" w:rsidP="0043703D">
      <w:pPr>
        <w:jc w:val="center"/>
        <w:rPr>
          <w:b/>
          <w:sz w:val="36"/>
          <w:szCs w:val="36"/>
        </w:rPr>
      </w:pPr>
      <w:r w:rsidRPr="0043703D">
        <w:rPr>
          <w:b/>
          <w:sz w:val="36"/>
          <w:szCs w:val="36"/>
        </w:rPr>
        <w:t>ПОВН</w:t>
      </w:r>
      <w:r>
        <w:rPr>
          <w:b/>
          <w:sz w:val="36"/>
          <w:szCs w:val="36"/>
        </w:rPr>
        <w:t>ОГО</w:t>
      </w:r>
      <w:r w:rsidRPr="0043703D">
        <w:rPr>
          <w:b/>
          <w:sz w:val="36"/>
          <w:szCs w:val="36"/>
        </w:rPr>
        <w:t xml:space="preserve"> ТОВАРИСТВ</w:t>
      </w:r>
      <w:r>
        <w:rPr>
          <w:b/>
          <w:sz w:val="36"/>
          <w:szCs w:val="36"/>
        </w:rPr>
        <w:t>А</w:t>
      </w:r>
      <w:r w:rsidRPr="0043703D">
        <w:rPr>
          <w:b/>
          <w:sz w:val="36"/>
          <w:szCs w:val="36"/>
        </w:rPr>
        <w:t xml:space="preserve"> "ЛОМБАРД "ГАРАНТ-ЧЕРКАСИ" БОРОДАЙ О.А</w:t>
      </w:r>
      <w:r w:rsidR="0061533A">
        <w:rPr>
          <w:b/>
          <w:sz w:val="36"/>
          <w:szCs w:val="36"/>
          <w:lang w:val="ru-RU"/>
        </w:rPr>
        <w:t xml:space="preserve">. і компанія </w:t>
      </w:r>
      <w:r w:rsidRPr="0043703D">
        <w:rPr>
          <w:b/>
          <w:sz w:val="36"/>
          <w:szCs w:val="36"/>
        </w:rPr>
        <w:t>"</w:t>
      </w:r>
    </w:p>
    <w:p w:rsidR="0043703D" w:rsidRDefault="0043703D" w:rsidP="0043703D">
      <w:pPr>
        <w:pStyle w:val="Standard"/>
        <w:widowControl w:val="0"/>
        <w:jc w:val="center"/>
        <w:rPr>
          <w:rStyle w:val="14"/>
          <w:rFonts w:ascii="Times New Roman" w:hAnsi="Times New Roman" w:cs="Times New Roman"/>
          <w:b/>
          <w:color w:val="993366"/>
          <w:sz w:val="32"/>
          <w:szCs w:val="32"/>
        </w:rPr>
      </w:pPr>
      <w:r w:rsidRPr="00C15C86">
        <w:rPr>
          <w:rStyle w:val="14"/>
          <w:rFonts w:ascii="Times New Roman" w:hAnsi="Times New Roman" w:cs="Times New Roman"/>
          <w:b/>
          <w:color w:val="993366"/>
          <w:sz w:val="32"/>
          <w:szCs w:val="32"/>
        </w:rPr>
        <w:t xml:space="preserve">  </w:t>
      </w:r>
    </w:p>
    <w:p w:rsidR="0043703D" w:rsidRPr="00C15C86" w:rsidRDefault="0043703D" w:rsidP="0043703D">
      <w:pPr>
        <w:pStyle w:val="Standard"/>
        <w:widowControl w:val="0"/>
        <w:jc w:val="center"/>
        <w:rPr>
          <w:rFonts w:ascii="Times New Roman" w:hAnsi="Times New Roman" w:cs="Times New Roman"/>
          <w:b/>
          <w:sz w:val="32"/>
          <w:szCs w:val="32"/>
        </w:rPr>
      </w:pPr>
      <w:r w:rsidRPr="00C15C86">
        <w:rPr>
          <w:rStyle w:val="14"/>
          <w:rFonts w:ascii="Times New Roman" w:hAnsi="Times New Roman" w:cs="Times New Roman"/>
          <w:b/>
          <w:color w:val="993366"/>
          <w:sz w:val="32"/>
          <w:szCs w:val="32"/>
        </w:rPr>
        <w:t xml:space="preserve"> </w:t>
      </w:r>
      <w:r w:rsidRPr="00C15C86">
        <w:rPr>
          <w:rStyle w:val="14"/>
          <w:rFonts w:ascii="Times New Roman" w:hAnsi="Times New Roman" w:cs="Times New Roman"/>
          <w:b/>
          <w:sz w:val="32"/>
          <w:szCs w:val="32"/>
        </w:rPr>
        <w:t>станом на 31.12.201</w:t>
      </w:r>
      <w:r w:rsidR="0061533A">
        <w:rPr>
          <w:rStyle w:val="14"/>
          <w:rFonts w:ascii="Times New Roman" w:hAnsi="Times New Roman" w:cs="Times New Roman"/>
          <w:b/>
          <w:sz w:val="32"/>
          <w:szCs w:val="32"/>
          <w:lang w:val="ru-RU"/>
        </w:rPr>
        <w:t>9</w:t>
      </w:r>
      <w:r w:rsidRPr="00C15C86">
        <w:rPr>
          <w:rStyle w:val="14"/>
          <w:rFonts w:ascii="Times New Roman" w:hAnsi="Times New Roman" w:cs="Times New Roman"/>
          <w:b/>
          <w:sz w:val="32"/>
          <w:szCs w:val="32"/>
        </w:rPr>
        <w:t xml:space="preserve"> року</w:t>
      </w:r>
    </w:p>
    <w:p w:rsidR="0043703D" w:rsidRDefault="0043703D" w:rsidP="0043703D">
      <w:pPr>
        <w:pStyle w:val="Standard"/>
        <w:widowControl w:val="0"/>
        <w:jc w:val="center"/>
        <w:rPr>
          <w:rFonts w:ascii="Times New Roman" w:hAnsi="Times New Roman" w:cs="Times New Roman"/>
          <w:b/>
          <w:sz w:val="32"/>
          <w:szCs w:val="32"/>
        </w:rPr>
      </w:pPr>
    </w:p>
    <w:p w:rsidR="0043703D" w:rsidRDefault="0043703D" w:rsidP="0043703D">
      <w:pPr>
        <w:pStyle w:val="Standard"/>
        <w:widowControl w:val="0"/>
        <w:jc w:val="center"/>
        <w:rPr>
          <w:sz w:val="40"/>
          <w:szCs w:val="40"/>
        </w:rPr>
      </w:pPr>
    </w:p>
    <w:p w:rsidR="0043703D" w:rsidRDefault="0043703D" w:rsidP="0043703D">
      <w:pPr>
        <w:pStyle w:val="Standard"/>
        <w:widowControl w:val="0"/>
        <w:jc w:val="center"/>
        <w:rPr>
          <w:sz w:val="40"/>
          <w:szCs w:val="40"/>
        </w:rPr>
      </w:pPr>
    </w:p>
    <w:p w:rsidR="0043703D" w:rsidRDefault="0043703D" w:rsidP="0043703D">
      <w:pPr>
        <w:pStyle w:val="Standard"/>
        <w:rPr>
          <w:sz w:val="40"/>
          <w:szCs w:val="40"/>
        </w:rPr>
      </w:pPr>
    </w:p>
    <w:p w:rsidR="0043703D" w:rsidRDefault="0043703D" w:rsidP="0043703D">
      <w:pPr>
        <w:pStyle w:val="Standard"/>
        <w:widowControl w:val="0"/>
        <w:jc w:val="center"/>
        <w:rPr>
          <w:sz w:val="40"/>
          <w:szCs w:val="40"/>
        </w:rPr>
      </w:pPr>
    </w:p>
    <w:p w:rsidR="0043703D" w:rsidRDefault="0043703D" w:rsidP="0043703D">
      <w:pPr>
        <w:pStyle w:val="Standard"/>
        <w:widowControl w:val="0"/>
        <w:jc w:val="center"/>
        <w:rPr>
          <w:sz w:val="40"/>
          <w:szCs w:val="40"/>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Default="0043703D" w:rsidP="0043703D">
      <w:pPr>
        <w:pStyle w:val="211"/>
        <w:spacing w:line="240" w:lineRule="auto"/>
        <w:ind w:right="567" w:firstLine="0"/>
        <w:rPr>
          <w:rFonts w:ascii="Courier New" w:hAnsi="Courier New" w:cs="Courier New"/>
          <w:b w:val="0"/>
          <w:bCs w:val="0"/>
          <w:i w:val="0"/>
          <w:iCs w:val="0"/>
          <w:color w:val="000000"/>
          <w:sz w:val="40"/>
          <w:szCs w:val="40"/>
          <w:lang w:val="uk-UA" w:eastAsia="uk-UA"/>
        </w:rPr>
      </w:pPr>
    </w:p>
    <w:p w:rsidR="0043703D" w:rsidRPr="0043703D" w:rsidRDefault="0043703D" w:rsidP="0043703D">
      <w:pPr>
        <w:pStyle w:val="211"/>
        <w:spacing w:line="240" w:lineRule="auto"/>
        <w:ind w:right="567" w:firstLine="0"/>
        <w:rPr>
          <w:lang w:val="uk-UA"/>
        </w:rPr>
      </w:pPr>
    </w:p>
    <w:p w:rsidR="0043703D" w:rsidRPr="0043703D" w:rsidRDefault="0043703D" w:rsidP="0043703D">
      <w:pPr>
        <w:pStyle w:val="211"/>
        <w:spacing w:line="240" w:lineRule="auto"/>
        <w:ind w:right="567" w:firstLine="0"/>
        <w:jc w:val="center"/>
        <w:rPr>
          <w:lang w:val="uk-UA"/>
        </w:rPr>
      </w:pPr>
      <w:r>
        <w:rPr>
          <w:rStyle w:val="212pt1"/>
          <w:sz w:val="28"/>
          <w:szCs w:val="28"/>
          <w:lang w:val="uk-UA"/>
        </w:rPr>
        <w:t>м. Черкаси</w:t>
      </w:r>
    </w:p>
    <w:p w:rsidR="0043703D" w:rsidRPr="0043703D" w:rsidRDefault="0043703D" w:rsidP="0043703D">
      <w:pPr>
        <w:pStyle w:val="211"/>
        <w:tabs>
          <w:tab w:val="num" w:pos="380"/>
        </w:tabs>
        <w:spacing w:line="240" w:lineRule="auto"/>
        <w:ind w:left="119" w:right="567" w:firstLine="261"/>
        <w:jc w:val="center"/>
        <w:rPr>
          <w:lang w:val="uk-UA"/>
        </w:rPr>
      </w:pPr>
      <w:r>
        <w:rPr>
          <w:rStyle w:val="212pt1"/>
          <w:sz w:val="28"/>
          <w:szCs w:val="28"/>
          <w:lang w:val="uk-UA"/>
        </w:rPr>
        <w:t>2019 р</w:t>
      </w:r>
    </w:p>
    <w:p w:rsidR="0043703D" w:rsidRDefault="0043703D" w:rsidP="0043703D">
      <w:pPr>
        <w:pStyle w:val="Textbody"/>
        <w:jc w:val="center"/>
        <w:rPr>
          <w:b/>
          <w:sz w:val="24"/>
          <w:szCs w:val="24"/>
          <w:lang w:val="uk-UA"/>
        </w:rPr>
      </w:pPr>
    </w:p>
    <w:p w:rsidR="0043703D" w:rsidRDefault="0043703D" w:rsidP="0043703D">
      <w:pPr>
        <w:pStyle w:val="Textbody"/>
        <w:jc w:val="center"/>
        <w:rPr>
          <w:b/>
          <w:sz w:val="24"/>
          <w:szCs w:val="24"/>
          <w:lang w:val="uk-UA"/>
        </w:rPr>
      </w:pPr>
    </w:p>
    <w:p w:rsidR="0043703D" w:rsidRDefault="0043703D" w:rsidP="0043703D">
      <w:pPr>
        <w:pStyle w:val="Textbody"/>
        <w:jc w:val="center"/>
        <w:rPr>
          <w:sz w:val="24"/>
          <w:szCs w:val="24"/>
          <w:lang w:val="uk-UA"/>
        </w:rPr>
      </w:pPr>
    </w:p>
    <w:p w:rsidR="0043703D" w:rsidRPr="0043703D" w:rsidRDefault="0043703D" w:rsidP="0043703D">
      <w:pPr>
        <w:pStyle w:val="13"/>
        <w:widowControl/>
        <w:shd w:val="clear" w:color="auto" w:fill="FFFFFF"/>
        <w:suppressAutoHyphens w:val="0"/>
        <w:spacing w:line="297" w:lineRule="exact"/>
        <w:ind w:hanging="620"/>
        <w:jc w:val="center"/>
        <w:rPr>
          <w:lang w:val="uk-UA"/>
        </w:rPr>
      </w:pPr>
      <w:r>
        <w:rPr>
          <w:rStyle w:val="14"/>
          <w:rFonts w:ascii="Times New Roman" w:eastAsia="Calibri" w:hAnsi="Times New Roman" w:cs="Times New Roman"/>
          <w:b/>
          <w:sz w:val="24"/>
          <w:szCs w:val="24"/>
          <w:lang w:val="uk-UA"/>
        </w:rPr>
        <w:t>ЗМІСТ:</w:t>
      </w:r>
    </w:p>
    <w:p w:rsidR="0043703D" w:rsidRDefault="0043703D" w:rsidP="0043703D">
      <w:pPr>
        <w:pStyle w:val="16"/>
        <w:tabs>
          <w:tab w:val="clear" w:pos="9356"/>
          <w:tab w:val="right" w:leader="dot" w:pos="9781"/>
        </w:tabs>
      </w:pPr>
      <w:r>
        <w:fldChar w:fldCharType="begin"/>
      </w:r>
      <w:r>
        <w:instrText xml:space="preserve"> TOC \t "Заголовок 1;1;Заголовок 2;2;" </w:instrText>
      </w:r>
      <w:r>
        <w:fldChar w:fldCharType="separate"/>
      </w:r>
      <w:r>
        <w:rPr>
          <w:rStyle w:val="14"/>
          <w:rFonts w:ascii="Times New Roman" w:eastAsia="Times New Roman" w:hAnsi="Times New Roman" w:cs="Times New Roman"/>
          <w:smallCaps/>
          <w:sz w:val="24"/>
          <w:szCs w:val="24"/>
          <w:lang w:val="uk-UA" w:eastAsia="ru-RU"/>
        </w:rPr>
        <w:t>заява про відповідальність керівництва за підготовку та затвердження фінансової зв</w:t>
      </w:r>
      <w:r>
        <w:rPr>
          <w:rStyle w:val="14"/>
          <w:rFonts w:ascii="Times New Roman" w:eastAsia="Times New Roman" w:hAnsi="Times New Roman" w:cs="Times New Roman"/>
          <w:smallCaps/>
          <w:sz w:val="24"/>
          <w:szCs w:val="24"/>
          <w:lang w:val="uk-UA" w:eastAsia="ru-RU"/>
        </w:rPr>
        <w:t>і</w:t>
      </w:r>
      <w:r>
        <w:rPr>
          <w:rStyle w:val="14"/>
          <w:rFonts w:ascii="Times New Roman" w:eastAsia="Times New Roman" w:hAnsi="Times New Roman" w:cs="Times New Roman"/>
          <w:smallCaps/>
          <w:sz w:val="24"/>
          <w:szCs w:val="24"/>
          <w:lang w:val="uk-UA" w:eastAsia="ru-RU"/>
        </w:rPr>
        <w:t>тності</w:t>
      </w:r>
      <w:r>
        <w:rPr>
          <w:noProof/>
          <w:webHidden/>
        </w:rPr>
        <w:tab/>
      </w:r>
      <w:r>
        <w:rPr>
          <w:rStyle w:val="14"/>
          <w:rFonts w:ascii="Times New Roman" w:eastAsia="Times New Roman" w:hAnsi="Times New Roman" w:cs="Times New Roman"/>
          <w:smallCaps/>
          <w:sz w:val="24"/>
          <w:szCs w:val="24"/>
          <w:lang w:val="uk-UA" w:eastAsia="ru-RU"/>
        </w:rPr>
        <w:t>3</w:t>
      </w:r>
    </w:p>
    <w:p w:rsidR="0043703D" w:rsidRDefault="0043703D" w:rsidP="0043703D">
      <w:pPr>
        <w:pStyle w:val="16"/>
        <w:tabs>
          <w:tab w:val="clear" w:pos="9356"/>
          <w:tab w:val="right" w:leader="dot" w:pos="9781"/>
        </w:tabs>
      </w:pPr>
      <w:r>
        <w:rPr>
          <w:rStyle w:val="14"/>
          <w:rFonts w:ascii="Times New Roman" w:eastAsia="Times New Roman" w:hAnsi="Times New Roman" w:cs="Times New Roman"/>
          <w:smallCaps/>
          <w:sz w:val="24"/>
          <w:szCs w:val="24"/>
          <w:lang w:val="uk-UA" w:eastAsia="ru-RU"/>
        </w:rPr>
        <w:t>Баланс (звіт про фінансовий стан)</w:t>
      </w:r>
      <w:r>
        <w:rPr>
          <w:noProof/>
          <w:webHidden/>
        </w:rPr>
        <w:tab/>
      </w:r>
      <w:r>
        <w:rPr>
          <w:rStyle w:val="14"/>
          <w:rFonts w:ascii="Times New Roman" w:eastAsia="Times New Roman" w:hAnsi="Times New Roman" w:cs="Times New Roman"/>
          <w:smallCaps/>
          <w:sz w:val="24"/>
          <w:szCs w:val="24"/>
          <w:lang w:val="uk-UA" w:eastAsia="ru-RU"/>
        </w:rPr>
        <w:t>4</w:t>
      </w:r>
    </w:p>
    <w:p w:rsidR="0043703D" w:rsidRDefault="0043703D" w:rsidP="0043703D">
      <w:pPr>
        <w:pStyle w:val="16"/>
        <w:tabs>
          <w:tab w:val="clear" w:pos="9356"/>
          <w:tab w:val="right" w:leader="dot" w:pos="9781"/>
        </w:tabs>
      </w:pPr>
      <w:r>
        <w:rPr>
          <w:rStyle w:val="14"/>
          <w:rFonts w:ascii="Times New Roman" w:eastAsia="Times New Roman" w:hAnsi="Times New Roman" w:cs="Times New Roman"/>
          <w:smallCaps/>
          <w:sz w:val="24"/>
          <w:szCs w:val="24"/>
          <w:lang w:val="uk-UA" w:eastAsia="ru-RU"/>
        </w:rPr>
        <w:t>Звіт про фінансові результати (звіт про сукупний дохід)</w:t>
      </w:r>
      <w:r>
        <w:rPr>
          <w:noProof/>
          <w:webHidden/>
        </w:rPr>
        <w:tab/>
      </w:r>
      <w:r>
        <w:rPr>
          <w:rStyle w:val="14"/>
          <w:rFonts w:ascii="Times New Roman" w:eastAsia="Times New Roman" w:hAnsi="Times New Roman" w:cs="Times New Roman"/>
          <w:smallCaps/>
          <w:sz w:val="24"/>
          <w:szCs w:val="24"/>
          <w:lang w:val="uk-UA" w:eastAsia="ru-RU"/>
        </w:rPr>
        <w:t>5</w:t>
      </w:r>
    </w:p>
    <w:p w:rsidR="0043703D" w:rsidRDefault="0043703D" w:rsidP="0043703D">
      <w:pPr>
        <w:pStyle w:val="16"/>
        <w:tabs>
          <w:tab w:val="clear" w:pos="9356"/>
          <w:tab w:val="right" w:leader="dot" w:pos="9781"/>
        </w:tabs>
      </w:pPr>
      <w:r>
        <w:rPr>
          <w:rStyle w:val="14"/>
          <w:rFonts w:ascii="Times New Roman" w:eastAsia="Times New Roman" w:hAnsi="Times New Roman" w:cs="Times New Roman"/>
          <w:smallCaps/>
          <w:sz w:val="24"/>
          <w:szCs w:val="24"/>
          <w:lang w:val="uk-UA" w:eastAsia="ru-RU"/>
        </w:rPr>
        <w:t>Звіт про рух грошових коштів (за прямим методом)</w:t>
      </w:r>
      <w:r>
        <w:rPr>
          <w:noProof/>
          <w:webHidden/>
        </w:rPr>
        <w:tab/>
      </w:r>
      <w:r>
        <w:rPr>
          <w:rStyle w:val="14"/>
          <w:rFonts w:ascii="Times New Roman" w:eastAsia="Times New Roman" w:hAnsi="Times New Roman" w:cs="Times New Roman"/>
          <w:smallCaps/>
          <w:sz w:val="24"/>
          <w:szCs w:val="24"/>
          <w:lang w:val="uk-UA" w:eastAsia="ru-RU"/>
        </w:rPr>
        <w:t>6</w:t>
      </w:r>
    </w:p>
    <w:p w:rsidR="0043703D" w:rsidRDefault="0043703D" w:rsidP="0043703D">
      <w:pPr>
        <w:pStyle w:val="16"/>
        <w:tabs>
          <w:tab w:val="clear" w:pos="9356"/>
          <w:tab w:val="right" w:leader="dot" w:pos="9781"/>
        </w:tabs>
      </w:pPr>
      <w:r>
        <w:rPr>
          <w:rStyle w:val="14"/>
          <w:rFonts w:ascii="Times New Roman" w:eastAsia="Times New Roman" w:hAnsi="Times New Roman" w:cs="Times New Roman"/>
          <w:smallCaps/>
          <w:sz w:val="24"/>
          <w:szCs w:val="24"/>
          <w:lang w:val="uk-UA" w:eastAsia="ru-RU"/>
        </w:rPr>
        <w:t>Звіт про власний капітал</w:t>
      </w:r>
      <w:r>
        <w:rPr>
          <w:noProof/>
          <w:webHidden/>
        </w:rPr>
        <w:tab/>
      </w:r>
      <w:r>
        <w:rPr>
          <w:rStyle w:val="14"/>
          <w:rFonts w:ascii="Times New Roman" w:eastAsia="Times New Roman" w:hAnsi="Times New Roman" w:cs="Times New Roman"/>
          <w:smallCaps/>
          <w:sz w:val="24"/>
          <w:szCs w:val="24"/>
          <w:lang w:val="uk-UA" w:eastAsia="ru-RU"/>
        </w:rPr>
        <w:t>7</w:t>
      </w:r>
    </w:p>
    <w:p w:rsidR="0043703D" w:rsidRDefault="0043703D" w:rsidP="0043703D">
      <w:pPr>
        <w:pStyle w:val="16"/>
        <w:tabs>
          <w:tab w:val="clear" w:pos="9356"/>
          <w:tab w:val="right" w:leader="dot" w:pos="9781"/>
        </w:tabs>
      </w:pPr>
      <w:r>
        <w:rPr>
          <w:rStyle w:val="14"/>
          <w:rFonts w:ascii="Times New Roman" w:eastAsia="Times New Roman" w:hAnsi="Times New Roman" w:cs="Times New Roman"/>
          <w:smallCaps/>
          <w:sz w:val="24"/>
          <w:szCs w:val="24"/>
          <w:lang w:val="uk-UA" w:eastAsia="ru-RU"/>
        </w:rPr>
        <w:t>Примітки до фінансової звітності</w:t>
      </w:r>
      <w:r>
        <w:rPr>
          <w:noProof/>
          <w:webHidden/>
        </w:rPr>
        <w:tab/>
      </w:r>
      <w:r>
        <w:rPr>
          <w:rStyle w:val="14"/>
          <w:rFonts w:ascii="Times New Roman" w:eastAsia="Times New Roman" w:hAnsi="Times New Roman" w:cs="Times New Roman"/>
          <w:smallCaps/>
          <w:sz w:val="24"/>
          <w:szCs w:val="24"/>
          <w:lang w:val="uk-UA" w:eastAsia="ru-RU"/>
        </w:rPr>
        <w:t>8</w:t>
      </w:r>
    </w:p>
    <w:p w:rsidR="0043703D" w:rsidRDefault="0043703D" w:rsidP="0043703D">
      <w:pPr>
        <w:pStyle w:val="16"/>
        <w:tabs>
          <w:tab w:val="clear" w:pos="9356"/>
          <w:tab w:val="right" w:leader="dot" w:pos="9781"/>
        </w:tabs>
        <w:rPr>
          <w:lang w:val="uk-UA" w:eastAsia="ru-RU"/>
        </w:rPr>
      </w:pPr>
    </w:p>
    <w:p w:rsidR="0043703D" w:rsidRDefault="0043703D" w:rsidP="0043703D">
      <w:pPr>
        <w:pStyle w:val="16"/>
        <w:tabs>
          <w:tab w:val="clear" w:pos="9356"/>
          <w:tab w:val="right" w:leader="dot" w:pos="9781"/>
        </w:tabs>
        <w:rPr>
          <w:lang w:val="uk-UA" w:eastAsia="ru-RU"/>
        </w:rPr>
      </w:pPr>
    </w:p>
    <w:p w:rsidR="0043703D" w:rsidRDefault="0043703D" w:rsidP="0043703D">
      <w:pPr>
        <w:pStyle w:val="16"/>
        <w:tabs>
          <w:tab w:val="clear" w:pos="9356"/>
          <w:tab w:val="right" w:leader="dot" w:pos="9781"/>
        </w:tabs>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lang w:val="uk-UA" w:eastAsia="ru-RU"/>
        </w:rPr>
      </w:pPr>
    </w:p>
    <w:p w:rsidR="0043703D" w:rsidRDefault="0043703D" w:rsidP="0043703D">
      <w:pPr>
        <w:pStyle w:val="16"/>
        <w:rPr>
          <w:rFonts w:ascii="Courier New" w:eastAsia="Courier New" w:hAnsi="Courier New" w:cs="Courier New"/>
          <w:color w:val="000000"/>
          <w:sz w:val="24"/>
          <w:szCs w:val="24"/>
          <w:lang w:val="uk-UA" w:eastAsia="ru-RU"/>
        </w:rPr>
      </w:pPr>
      <w:r>
        <w:fldChar w:fldCharType="end"/>
      </w:r>
    </w:p>
    <w:p w:rsidR="0043703D" w:rsidRDefault="0043703D" w:rsidP="0043703D">
      <w:pPr>
        <w:pStyle w:val="13"/>
        <w:widowControl/>
        <w:tabs>
          <w:tab w:val="right" w:leader="dot" w:pos="9689"/>
        </w:tabs>
        <w:suppressAutoHyphens w:val="0"/>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43703D" w:rsidRDefault="0043703D" w:rsidP="0043703D">
      <w:pPr>
        <w:pStyle w:val="13"/>
        <w:widowControl/>
        <w:tabs>
          <w:tab w:val="right" w:leader="dot" w:pos="9689"/>
        </w:tabs>
        <w:suppressAutoHyphens w:val="0"/>
        <w:rPr>
          <w:lang w:val="uk-UA"/>
        </w:rPr>
      </w:pPr>
    </w:p>
    <w:p w:rsidR="00386423" w:rsidRDefault="00386423" w:rsidP="0043703D">
      <w:pPr>
        <w:pStyle w:val="Textbody"/>
        <w:jc w:val="center"/>
        <w:rPr>
          <w:rFonts w:eastAsia="Times New Roman"/>
          <w:b/>
          <w:sz w:val="24"/>
          <w:szCs w:val="24"/>
          <w:lang w:val="uk-UA" w:eastAsia="ru-RU"/>
        </w:rPr>
      </w:pPr>
    </w:p>
    <w:p w:rsidR="00386423" w:rsidRDefault="00386423" w:rsidP="0043703D">
      <w:pPr>
        <w:pStyle w:val="Textbody"/>
        <w:jc w:val="center"/>
        <w:rPr>
          <w:rFonts w:eastAsia="Times New Roman"/>
          <w:b/>
          <w:sz w:val="24"/>
          <w:szCs w:val="24"/>
          <w:lang w:val="uk-UA" w:eastAsia="ru-RU"/>
        </w:rPr>
      </w:pPr>
    </w:p>
    <w:p w:rsidR="0043703D" w:rsidRPr="0043703D" w:rsidRDefault="0043703D" w:rsidP="0043703D">
      <w:pPr>
        <w:pStyle w:val="Textbody"/>
        <w:jc w:val="center"/>
        <w:rPr>
          <w:rFonts w:eastAsia="Times New Roman"/>
          <w:b/>
          <w:sz w:val="24"/>
          <w:szCs w:val="24"/>
          <w:lang w:val="uk-UA" w:eastAsia="ru-RU"/>
        </w:rPr>
      </w:pPr>
      <w:r w:rsidRPr="0043703D">
        <w:rPr>
          <w:rFonts w:eastAsia="Times New Roman"/>
          <w:b/>
          <w:sz w:val="24"/>
          <w:szCs w:val="24"/>
          <w:lang w:val="uk-UA" w:eastAsia="ru-RU"/>
        </w:rPr>
        <w:t>ЗАЯВА</w:t>
      </w:r>
    </w:p>
    <w:p w:rsidR="0043703D" w:rsidRPr="0043703D" w:rsidRDefault="0043703D" w:rsidP="0043703D">
      <w:pPr>
        <w:pStyle w:val="Textbody"/>
        <w:jc w:val="center"/>
        <w:rPr>
          <w:rFonts w:eastAsia="Times New Roman"/>
          <w:b/>
          <w:sz w:val="24"/>
          <w:szCs w:val="24"/>
          <w:lang w:val="uk-UA" w:eastAsia="ru-RU"/>
        </w:rPr>
      </w:pPr>
      <w:r w:rsidRPr="0043703D">
        <w:rPr>
          <w:rFonts w:eastAsia="Times New Roman"/>
          <w:b/>
          <w:sz w:val="24"/>
          <w:szCs w:val="24"/>
          <w:lang w:val="uk-UA" w:eastAsia="ru-RU"/>
        </w:rPr>
        <w:t>ПРО ВІДПОВІДАЛЬНІСТЬ  КЕРІВНИЦТВА</w:t>
      </w:r>
    </w:p>
    <w:p w:rsidR="0043703D" w:rsidRPr="0043703D" w:rsidRDefault="0043703D" w:rsidP="0043703D">
      <w:pPr>
        <w:pStyle w:val="Textbody"/>
        <w:jc w:val="center"/>
        <w:rPr>
          <w:rFonts w:eastAsia="Times New Roman"/>
          <w:b/>
          <w:sz w:val="24"/>
          <w:szCs w:val="24"/>
          <w:lang w:val="uk-UA" w:eastAsia="ru-RU"/>
        </w:rPr>
      </w:pPr>
      <w:r w:rsidRPr="0043703D">
        <w:rPr>
          <w:rFonts w:eastAsia="Times New Roman"/>
          <w:b/>
          <w:sz w:val="24"/>
          <w:szCs w:val="24"/>
          <w:lang w:val="uk-UA" w:eastAsia="ru-RU"/>
        </w:rPr>
        <w:t xml:space="preserve"> ЗА ПІДГОТОВКУ ТА ЗАТВЕРДЖЕННЯ</w:t>
      </w:r>
    </w:p>
    <w:p w:rsidR="0043703D" w:rsidRPr="0043703D" w:rsidRDefault="0043703D" w:rsidP="0043703D">
      <w:pPr>
        <w:pStyle w:val="Textbody"/>
        <w:jc w:val="center"/>
        <w:rPr>
          <w:sz w:val="24"/>
          <w:szCs w:val="24"/>
          <w:lang w:val="uk-UA"/>
        </w:rPr>
      </w:pPr>
      <w:r w:rsidRPr="0043703D">
        <w:rPr>
          <w:rStyle w:val="14"/>
          <w:rFonts w:eastAsia="Times New Roman"/>
          <w:b/>
          <w:sz w:val="24"/>
          <w:szCs w:val="24"/>
          <w:lang w:val="uk-UA" w:eastAsia="ru-RU"/>
        </w:rPr>
        <w:t>ФІНАНСОВОЇ ЗВІТНОСТІ</w:t>
      </w:r>
    </w:p>
    <w:p w:rsidR="0043703D" w:rsidRDefault="0043703D" w:rsidP="0043703D">
      <w:pPr>
        <w:jc w:val="center"/>
        <w:rPr>
          <w:b/>
          <w:szCs w:val="24"/>
        </w:rPr>
      </w:pPr>
      <w:r w:rsidRPr="0043703D">
        <w:rPr>
          <w:b/>
          <w:szCs w:val="24"/>
        </w:rPr>
        <w:t xml:space="preserve">ПОВНЕ ТОВАРИСТВО "ЛОМБАРД "ГАРАНТ-ЧЕРКАСИ" </w:t>
      </w:r>
    </w:p>
    <w:p w:rsidR="0043703D" w:rsidRPr="0043703D" w:rsidRDefault="0043703D" w:rsidP="0043703D">
      <w:pPr>
        <w:jc w:val="center"/>
        <w:rPr>
          <w:b/>
          <w:szCs w:val="24"/>
        </w:rPr>
      </w:pPr>
      <w:r w:rsidRPr="0043703D">
        <w:rPr>
          <w:b/>
          <w:szCs w:val="24"/>
        </w:rPr>
        <w:t>БОРОДАЙ О.А</w:t>
      </w:r>
      <w:r w:rsidR="0061533A">
        <w:rPr>
          <w:b/>
          <w:szCs w:val="24"/>
        </w:rPr>
        <w:t>. і компанія</w:t>
      </w:r>
      <w:r w:rsidRPr="0043703D">
        <w:rPr>
          <w:b/>
          <w:szCs w:val="24"/>
        </w:rPr>
        <w:t>"</w:t>
      </w:r>
    </w:p>
    <w:p w:rsidR="0043703D" w:rsidRPr="0043703D" w:rsidRDefault="0043703D" w:rsidP="0043703D">
      <w:pPr>
        <w:pStyle w:val="Standard"/>
        <w:widowControl w:val="0"/>
        <w:jc w:val="center"/>
      </w:pPr>
      <w:r w:rsidRPr="0043703D">
        <w:rPr>
          <w:rStyle w:val="14"/>
          <w:rFonts w:ascii="Times New Roman" w:eastAsia="Times New Roman" w:hAnsi="Times New Roman" w:cs="Times New Roman"/>
          <w:b/>
          <w:lang w:val="en-US" w:eastAsia="ru-RU"/>
        </w:rPr>
        <w:t>c</w:t>
      </w:r>
      <w:r w:rsidRPr="0043703D">
        <w:rPr>
          <w:rStyle w:val="14"/>
          <w:rFonts w:ascii="Times New Roman" w:eastAsia="Times New Roman" w:hAnsi="Times New Roman" w:cs="Times New Roman"/>
          <w:b/>
          <w:lang w:eastAsia="ru-RU"/>
        </w:rPr>
        <w:t>таном на 31 грудня 201</w:t>
      </w:r>
      <w:r w:rsidR="0061533A">
        <w:rPr>
          <w:rStyle w:val="14"/>
          <w:rFonts w:ascii="Times New Roman" w:eastAsia="Times New Roman" w:hAnsi="Times New Roman" w:cs="Times New Roman"/>
          <w:b/>
          <w:lang w:eastAsia="ru-RU"/>
        </w:rPr>
        <w:t>9</w:t>
      </w:r>
      <w:r w:rsidRPr="0043703D">
        <w:rPr>
          <w:rStyle w:val="14"/>
          <w:rFonts w:ascii="Times New Roman" w:eastAsia="Times New Roman" w:hAnsi="Times New Roman" w:cs="Times New Roman"/>
          <w:b/>
          <w:lang w:eastAsia="ru-RU"/>
        </w:rPr>
        <w:t xml:space="preserve"> року</w:t>
      </w:r>
    </w:p>
    <w:p w:rsidR="0043703D" w:rsidRDefault="0043703D" w:rsidP="0043703D">
      <w:pPr>
        <w:pStyle w:val="Standard"/>
        <w:rPr>
          <w:rFonts w:ascii="Times New Roman" w:eastAsia="Times New Roman" w:hAnsi="Times New Roman" w:cs="Times New Roman"/>
          <w:b/>
          <w:sz w:val="28"/>
          <w:szCs w:val="28"/>
          <w:lang w:eastAsia="ru-RU"/>
        </w:rPr>
      </w:pPr>
    </w:p>
    <w:p w:rsidR="0043703D" w:rsidRPr="0043703D" w:rsidRDefault="0043703D" w:rsidP="0043703D">
      <w:pPr>
        <w:jc w:val="center"/>
        <w:rPr>
          <w:szCs w:val="24"/>
        </w:rPr>
      </w:pPr>
      <w:r w:rsidRPr="00C15C86">
        <w:rPr>
          <w:rStyle w:val="14"/>
          <w:szCs w:val="24"/>
        </w:rPr>
        <w:t xml:space="preserve">Нижченаведена заява, яка повинна розглядатися спільно з описом обов'язків незалежних аудиторів, які містяться в представленому висновку  незалежних аудиторів, зроблена з метою розмежування відповідальності керівництва та вказаних незалежних аудиторів, щодо фінансової </w:t>
      </w:r>
      <w:r w:rsidRPr="0043703D">
        <w:rPr>
          <w:rStyle w:val="14"/>
          <w:szCs w:val="24"/>
        </w:rPr>
        <w:t xml:space="preserve">звітності </w:t>
      </w:r>
      <w:r w:rsidRPr="0043703D">
        <w:rPr>
          <w:szCs w:val="24"/>
        </w:rPr>
        <w:t xml:space="preserve">ПОВНОГО ТОВАРИСТВА "ЛОМБАРД "ГАРАНТ-ЧЕРКАСИ" </w:t>
      </w:r>
    </w:p>
    <w:p w:rsidR="0043703D" w:rsidRPr="0043703D" w:rsidRDefault="0043703D" w:rsidP="0043703D">
      <w:pPr>
        <w:pStyle w:val="aa"/>
        <w:spacing w:line="276" w:lineRule="auto"/>
        <w:ind w:firstLine="567"/>
        <w:contextualSpacing/>
        <w:jc w:val="both"/>
        <w:rPr>
          <w:szCs w:val="24"/>
        </w:rPr>
      </w:pPr>
      <w:r w:rsidRPr="0043703D">
        <w:rPr>
          <w:szCs w:val="24"/>
        </w:rPr>
        <w:t>БОРОДАЙ О.А</w:t>
      </w:r>
      <w:r w:rsidR="0061533A">
        <w:rPr>
          <w:szCs w:val="24"/>
        </w:rPr>
        <w:t>. і компанія</w:t>
      </w:r>
      <w:r w:rsidRPr="0043703D">
        <w:rPr>
          <w:szCs w:val="24"/>
        </w:rPr>
        <w:t>"</w:t>
      </w:r>
      <w:r w:rsidRPr="0043703D">
        <w:rPr>
          <w:rStyle w:val="14"/>
          <w:szCs w:val="24"/>
        </w:rPr>
        <w:t xml:space="preserve"> (далі - Компанія).</w:t>
      </w:r>
    </w:p>
    <w:p w:rsidR="0043703D" w:rsidRDefault="0043703D" w:rsidP="0043703D">
      <w:pPr>
        <w:pStyle w:val="Standard"/>
        <w:widowControl w:val="0"/>
        <w:ind w:firstLine="709"/>
        <w:jc w:val="both"/>
      </w:pPr>
      <w:r w:rsidRPr="0043703D">
        <w:rPr>
          <w:rStyle w:val="14"/>
          <w:rFonts w:ascii="Times New Roman" w:hAnsi="Times New Roman" w:cs="Times New Roman"/>
          <w:lang w:eastAsia="ru-RU"/>
        </w:rPr>
        <w:t>Керівництво Компанії відповідає за підготовку фінансової звітності</w:t>
      </w:r>
      <w:r>
        <w:rPr>
          <w:rStyle w:val="14"/>
          <w:rFonts w:ascii="Times New Roman" w:hAnsi="Times New Roman" w:cs="Times New Roman"/>
          <w:lang w:eastAsia="ru-RU"/>
        </w:rPr>
        <w:t>, достовірно відображає у всіх суттєвих аспектах</w:t>
      </w:r>
      <w:r>
        <w:rPr>
          <w:rStyle w:val="14"/>
          <w:rFonts w:ascii="Times New Roman" w:hAnsi="Times New Roman"/>
        </w:rPr>
        <w:t xml:space="preserve"> </w:t>
      </w:r>
      <w:r>
        <w:rPr>
          <w:rStyle w:val="14"/>
          <w:rFonts w:ascii="Times New Roman" w:hAnsi="Times New Roman" w:cs="Times New Roman"/>
          <w:lang w:eastAsia="ru-RU"/>
        </w:rPr>
        <w:t>фінансовий стан Компанії станом на 31 грудня 201</w:t>
      </w:r>
      <w:r w:rsidR="0061533A">
        <w:rPr>
          <w:rStyle w:val="14"/>
          <w:rFonts w:ascii="Times New Roman" w:hAnsi="Times New Roman" w:cs="Times New Roman"/>
          <w:lang w:eastAsia="ru-RU"/>
        </w:rPr>
        <w:t>9</w:t>
      </w:r>
      <w:r>
        <w:rPr>
          <w:rStyle w:val="14"/>
          <w:rFonts w:ascii="Times New Roman" w:hAnsi="Times New Roman" w:cs="Times New Roman"/>
          <w:lang w:eastAsia="ru-RU"/>
        </w:rPr>
        <w:t xml:space="preserve"> року, звіт про фінансові результати за 201</w:t>
      </w:r>
      <w:r w:rsidR="0061533A">
        <w:rPr>
          <w:rStyle w:val="14"/>
          <w:rFonts w:ascii="Times New Roman" w:hAnsi="Times New Roman" w:cs="Times New Roman"/>
          <w:lang w:eastAsia="ru-RU"/>
        </w:rPr>
        <w:t>9</w:t>
      </w:r>
      <w:r>
        <w:rPr>
          <w:rStyle w:val="14"/>
          <w:rFonts w:ascii="Times New Roman" w:hAnsi="Times New Roman" w:cs="Times New Roman"/>
          <w:lang w:eastAsia="ru-RU"/>
        </w:rPr>
        <w:t xml:space="preserve"> рік, а також рух грошових коштів та зміну в чистих активах, що належать учасникам, за рік, що закінчився на цю дату у відповідності до вимог</w:t>
      </w:r>
      <w:r>
        <w:rPr>
          <w:rStyle w:val="14"/>
          <w:rFonts w:ascii="Times New Roman" w:eastAsia="Times New Roman" w:hAnsi="Times New Roman" w:cs="Times New Roman"/>
          <w:color w:val="00000A"/>
          <w:sz w:val="22"/>
          <w:szCs w:val="22"/>
          <w:lang w:eastAsia="zh-CN"/>
        </w:rPr>
        <w:t xml:space="preserve"> </w:t>
      </w:r>
      <w:r>
        <w:rPr>
          <w:rStyle w:val="14"/>
          <w:rFonts w:ascii="Times New Roman" w:eastAsia="Times New Roman" w:hAnsi="Times New Roman" w:cs="Times New Roman"/>
          <w:color w:val="00000A"/>
          <w:lang w:eastAsia="zh-CN"/>
        </w:rPr>
        <w:t>Міжнародних стандартів фінансової звітності</w:t>
      </w:r>
      <w:r>
        <w:rPr>
          <w:rStyle w:val="14"/>
          <w:rFonts w:ascii="Times New Roman" w:hAnsi="Times New Roman" w:cs="Times New Roman"/>
          <w:lang w:eastAsia="ru-RU"/>
        </w:rPr>
        <w:t xml:space="preserve"> МСФЗ.</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При підготовці фінансової звітності керівництво несе відповідальність за:</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 Вибір належних принципів бухгалтерського обліку і їх послідовне застосування;</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 Застосування обґрунтованих оцінок і припущень;</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 Дотримання відповідних МСФЗ і розкриття всіх істотних відхилень у примітках до фінансової звітності;</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 Підготовку фінансової звітності, виходячи з припущення, що Компанія буде продовжувати свою діяльність у доступному для огляду майбутньому, за винятком випадків, коли таке допущення неправомірно.</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Керівництво також несе відповідальність за:</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 Розробку, впровадження та забезпечення функціонування ефективної та надійної системи внутрішнього контролю у Компанії;</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 Підтримання системи бухгалтерського обліку, що дозволяє в будь-який момент підготувати з достатнім ступенем точності інформацію про фінансове становище і забезпечити відповідність фінансової звітності вимогам МСФЗ;</w:t>
      </w:r>
    </w:p>
    <w:p w:rsidR="0043703D" w:rsidRDefault="0043703D" w:rsidP="0043703D">
      <w:pPr>
        <w:pStyle w:val="Standard"/>
        <w:widowControl w:val="0"/>
        <w:ind w:firstLine="709"/>
        <w:jc w:val="both"/>
        <w:rPr>
          <w:rFonts w:ascii="Times New Roman" w:hAnsi="Times New Roman" w:cs="Times New Roman"/>
          <w:lang w:eastAsia="ru-RU"/>
        </w:rPr>
      </w:pPr>
      <w:r>
        <w:rPr>
          <w:rFonts w:ascii="Times New Roman" w:hAnsi="Times New Roman" w:cs="Times New Roman"/>
          <w:lang w:eastAsia="ru-RU"/>
        </w:rPr>
        <w:t>• Вживання заходів в межах своєї компетенції для забезпечення зберігання активів Компанії;</w:t>
      </w:r>
      <w:r>
        <w:br/>
      </w:r>
      <w:r>
        <w:rPr>
          <w:rFonts w:ascii="Times New Roman" w:hAnsi="Times New Roman" w:cs="Times New Roman"/>
          <w:lang w:eastAsia="ru-RU"/>
        </w:rPr>
        <w:t xml:space="preserve">            • Запобігання та виявлення фактів шахрайства та інших зловживань.</w:t>
      </w:r>
    </w:p>
    <w:p w:rsidR="0043703D" w:rsidRDefault="0043703D" w:rsidP="0043703D">
      <w:pPr>
        <w:pStyle w:val="Standard"/>
        <w:widowControl w:val="0"/>
        <w:ind w:firstLine="709"/>
        <w:jc w:val="both"/>
        <w:rPr>
          <w:rFonts w:ascii="Times New Roman" w:hAnsi="Times New Roman" w:cs="Times New Roman"/>
          <w:lang w:eastAsia="ru-RU"/>
        </w:rPr>
      </w:pPr>
    </w:p>
    <w:p w:rsidR="00386423" w:rsidRPr="00887336" w:rsidRDefault="0043703D" w:rsidP="00386423">
      <w:pPr>
        <w:pStyle w:val="Standard"/>
        <w:widowControl w:val="0"/>
        <w:ind w:firstLine="709"/>
        <w:jc w:val="both"/>
        <w:rPr>
          <w:rStyle w:val="14"/>
          <w:rFonts w:ascii="Times New Roman" w:hAnsi="Times New Roman"/>
          <w:lang w:eastAsia="ru-RU"/>
        </w:rPr>
      </w:pPr>
      <w:r>
        <w:rPr>
          <w:rStyle w:val="14"/>
          <w:rFonts w:ascii="Times New Roman" w:hAnsi="Times New Roman" w:cs="Times New Roman"/>
          <w:lang w:eastAsia="ru-RU"/>
        </w:rPr>
        <w:t xml:space="preserve"> Фінансова звітність за фінансовий рік, що закінчився 31 грудня 201</w:t>
      </w:r>
      <w:r w:rsidR="0061533A">
        <w:rPr>
          <w:rStyle w:val="14"/>
          <w:rFonts w:ascii="Times New Roman" w:hAnsi="Times New Roman" w:cs="Times New Roman"/>
          <w:lang w:eastAsia="ru-RU"/>
        </w:rPr>
        <w:t>9</w:t>
      </w:r>
      <w:r>
        <w:rPr>
          <w:rStyle w:val="14"/>
          <w:rFonts w:ascii="Times New Roman" w:hAnsi="Times New Roman" w:cs="Times New Roman"/>
          <w:lang w:eastAsia="ru-RU"/>
        </w:rPr>
        <w:t xml:space="preserve"> року, була затверджена </w:t>
      </w:r>
      <w:r w:rsidR="00695168">
        <w:rPr>
          <w:rFonts w:ascii="Times New Roman" w:hAnsi="Times New Roman"/>
        </w:rPr>
        <w:t xml:space="preserve">до </w:t>
      </w:r>
      <w:r w:rsidR="00695168" w:rsidRPr="00B651CC">
        <w:rPr>
          <w:rFonts w:ascii="Times New Roman" w:hAnsi="Times New Roman"/>
        </w:rPr>
        <w:t>ви</w:t>
      </w:r>
      <w:r w:rsidRPr="00B651CC">
        <w:rPr>
          <w:rFonts w:ascii="Times New Roman" w:hAnsi="Times New Roman"/>
        </w:rPr>
        <w:t>п</w:t>
      </w:r>
      <w:r w:rsidR="00B651CC" w:rsidRPr="00B651CC">
        <w:rPr>
          <w:rFonts w:ascii="Times New Roman" w:hAnsi="Times New Roman"/>
        </w:rPr>
        <w:t>у</w:t>
      </w:r>
      <w:r w:rsidRPr="00B651CC">
        <w:rPr>
          <w:rFonts w:ascii="Times New Roman" w:hAnsi="Times New Roman"/>
        </w:rPr>
        <w:t>ску</w:t>
      </w:r>
      <w:r w:rsidRPr="00942C57">
        <w:rPr>
          <w:rFonts w:ascii="Times New Roman" w:hAnsi="Times New Roman"/>
        </w:rPr>
        <w:t xml:space="preserve"> </w:t>
      </w:r>
      <w:r w:rsidR="00386423" w:rsidRPr="00887336">
        <w:rPr>
          <w:rStyle w:val="14"/>
          <w:rFonts w:ascii="Times New Roman" w:hAnsi="Times New Roman"/>
          <w:lang w:eastAsia="ru-RU"/>
        </w:rPr>
        <w:t xml:space="preserve">Наказом № </w:t>
      </w:r>
      <w:r w:rsidR="00A7760A" w:rsidRPr="00887336">
        <w:rPr>
          <w:rStyle w:val="14"/>
          <w:rFonts w:ascii="Times New Roman" w:hAnsi="Times New Roman"/>
          <w:lang w:eastAsia="ru-RU"/>
        </w:rPr>
        <w:t>109</w:t>
      </w:r>
      <w:r w:rsidR="00386423" w:rsidRPr="00887336">
        <w:rPr>
          <w:rStyle w:val="14"/>
          <w:rFonts w:ascii="Times New Roman" w:hAnsi="Times New Roman"/>
          <w:lang w:eastAsia="ru-RU"/>
        </w:rPr>
        <w:t xml:space="preserve">  </w:t>
      </w:r>
      <w:r w:rsidR="00A7760A" w:rsidRPr="00887336">
        <w:rPr>
          <w:rStyle w:val="14"/>
          <w:rFonts w:ascii="Times New Roman" w:hAnsi="Times New Roman"/>
          <w:lang w:eastAsia="ru-RU"/>
        </w:rPr>
        <w:t>28</w:t>
      </w:r>
      <w:r w:rsidRPr="00887336">
        <w:rPr>
          <w:rFonts w:ascii="Times New Roman" w:hAnsi="Times New Roman"/>
        </w:rPr>
        <w:t>.02.20</w:t>
      </w:r>
      <w:r w:rsidR="0061533A" w:rsidRPr="00887336">
        <w:rPr>
          <w:rFonts w:ascii="Times New Roman" w:hAnsi="Times New Roman"/>
        </w:rPr>
        <w:t>20</w:t>
      </w:r>
      <w:r w:rsidRPr="00887336">
        <w:rPr>
          <w:rFonts w:ascii="Times New Roman" w:hAnsi="Times New Roman"/>
        </w:rPr>
        <w:t>р.</w:t>
      </w:r>
      <w:r w:rsidR="00386423" w:rsidRPr="00887336">
        <w:rPr>
          <w:rFonts w:ascii="Times New Roman" w:hAnsi="Times New Roman"/>
        </w:rPr>
        <w:t xml:space="preserve"> </w:t>
      </w:r>
      <w:r w:rsidR="00386423" w:rsidRPr="00887336">
        <w:rPr>
          <w:rStyle w:val="14"/>
          <w:rFonts w:ascii="Times New Roman" w:hAnsi="Times New Roman"/>
          <w:lang w:eastAsia="ru-RU"/>
        </w:rPr>
        <w:t>В зв’язку з змінами в економічному, середовище, в умовах якого товариство здійснює свою діяльність вже в 2020 році, й потребою нашої оцінки    можливості безперервної діяльності в подальшому,  фінансова звітність була перевипущена, й затверджена Наказом №</w:t>
      </w:r>
      <w:r w:rsidR="00A7760A" w:rsidRPr="00887336">
        <w:rPr>
          <w:rStyle w:val="14"/>
          <w:rFonts w:ascii="Times New Roman" w:hAnsi="Times New Roman"/>
          <w:lang w:eastAsia="ru-RU"/>
        </w:rPr>
        <w:t xml:space="preserve">111 </w:t>
      </w:r>
      <w:r w:rsidR="00386423" w:rsidRPr="00887336">
        <w:rPr>
          <w:rStyle w:val="14"/>
          <w:rFonts w:ascii="Times New Roman" w:hAnsi="Times New Roman"/>
          <w:lang w:eastAsia="ru-RU"/>
        </w:rPr>
        <w:t xml:space="preserve">від 10 квітня 2020 року. Змін зазнали Примітки до фінансової звітності за МСФЗ за 2019рік, а саме, Примітка 5,  Примітка </w:t>
      </w:r>
      <w:r w:rsidR="0032095D" w:rsidRPr="00887336">
        <w:rPr>
          <w:rStyle w:val="14"/>
          <w:rFonts w:ascii="Times New Roman" w:hAnsi="Times New Roman"/>
          <w:lang w:eastAsia="ru-RU"/>
        </w:rPr>
        <w:t>7</w:t>
      </w:r>
      <w:r w:rsidR="00386423" w:rsidRPr="00887336">
        <w:rPr>
          <w:rStyle w:val="14"/>
          <w:rFonts w:ascii="Times New Roman" w:hAnsi="Times New Roman"/>
          <w:lang w:eastAsia="ru-RU"/>
        </w:rPr>
        <w:t>.</w:t>
      </w:r>
    </w:p>
    <w:p w:rsidR="00386423" w:rsidRDefault="00386423" w:rsidP="00386423">
      <w:pPr>
        <w:pStyle w:val="Standard"/>
        <w:widowControl w:val="0"/>
        <w:ind w:firstLine="709"/>
        <w:jc w:val="both"/>
        <w:rPr>
          <w:rStyle w:val="14"/>
          <w:rFonts w:ascii="Times New Roman" w:hAnsi="Times New Roman"/>
          <w:lang w:eastAsia="ru-RU"/>
        </w:rPr>
      </w:pPr>
      <w:r w:rsidRPr="00887336">
        <w:rPr>
          <w:rStyle w:val="14"/>
          <w:rFonts w:ascii="Times New Roman" w:hAnsi="Times New Roman"/>
          <w:lang w:eastAsia="ru-RU"/>
        </w:rPr>
        <w:t>Всі інші дані в  фінансовій звітності за 2019 рік, що закінчився 31.12.2019 року, залишились без змін.</w:t>
      </w:r>
    </w:p>
    <w:p w:rsidR="0043703D" w:rsidRDefault="0043703D" w:rsidP="0043703D">
      <w:pPr>
        <w:pStyle w:val="Standard"/>
        <w:widowControl w:val="0"/>
        <w:jc w:val="both"/>
        <w:rPr>
          <w:rFonts w:ascii="Times New Roman" w:hAnsi="Times New Roman" w:cs="Times New Roman"/>
          <w:lang w:eastAsia="ru-RU"/>
        </w:rPr>
      </w:pPr>
      <w:r>
        <w:rPr>
          <w:rFonts w:ascii="Times New Roman" w:hAnsi="Times New Roman" w:cs="Times New Roman"/>
          <w:lang w:eastAsia="ru-RU"/>
        </w:rPr>
        <w:t>Від імені керівництва Компанії:</w:t>
      </w:r>
    </w:p>
    <w:p w:rsidR="0043703D" w:rsidRDefault="0043703D" w:rsidP="0043703D">
      <w:pPr>
        <w:pStyle w:val="Standard"/>
        <w:widowControl w:val="0"/>
        <w:jc w:val="both"/>
        <w:rPr>
          <w:rFonts w:ascii="Times New Roman" w:hAnsi="Times New Roman" w:cs="Times New Roman"/>
          <w:lang w:val="ru-RU" w:eastAsia="ru-RU"/>
        </w:rPr>
      </w:pPr>
    </w:p>
    <w:p w:rsidR="0043703D" w:rsidRDefault="0043703D" w:rsidP="0043703D">
      <w:pPr>
        <w:pStyle w:val="Standard"/>
        <w:widowControl w:val="0"/>
        <w:jc w:val="both"/>
        <w:rPr>
          <w:rFonts w:ascii="Times New Roman" w:hAnsi="Times New Roman" w:cs="Times New Roman"/>
          <w:lang w:val="ru-RU" w:eastAsia="ru-RU"/>
        </w:rPr>
      </w:pPr>
    </w:p>
    <w:p w:rsidR="0043703D" w:rsidRPr="004035A4" w:rsidRDefault="0043703D" w:rsidP="0043703D">
      <w:pPr>
        <w:ind w:firstLine="567"/>
      </w:pPr>
      <w:r w:rsidRPr="004035A4">
        <w:t>Директор</w:t>
      </w:r>
      <w:r w:rsidRPr="004035A4">
        <w:tab/>
      </w:r>
      <w:r w:rsidRPr="004035A4">
        <w:tab/>
      </w:r>
      <w:r w:rsidRPr="004035A4">
        <w:tab/>
      </w:r>
      <w:r w:rsidRPr="004035A4">
        <w:tab/>
      </w:r>
      <w:r w:rsidRPr="004035A4">
        <w:tab/>
      </w:r>
      <w:r w:rsidRPr="004035A4">
        <w:tab/>
        <w:t>Соколенко Н.О.</w:t>
      </w:r>
    </w:p>
    <w:p w:rsidR="0043703D" w:rsidRPr="004035A4" w:rsidRDefault="0043703D" w:rsidP="0043703D">
      <w:pPr>
        <w:ind w:firstLine="567"/>
      </w:pPr>
    </w:p>
    <w:p w:rsidR="0043703D" w:rsidRPr="004035A4" w:rsidRDefault="0043703D" w:rsidP="0043703D">
      <w:pPr>
        <w:ind w:firstLine="567"/>
      </w:pPr>
      <w:r w:rsidRPr="004035A4">
        <w:t>Головний бухгалтер</w:t>
      </w:r>
      <w:r w:rsidRPr="004035A4">
        <w:tab/>
      </w:r>
      <w:r w:rsidRPr="004035A4">
        <w:tab/>
      </w:r>
      <w:r w:rsidRPr="004035A4">
        <w:tab/>
      </w:r>
      <w:r w:rsidRPr="004035A4">
        <w:tab/>
      </w:r>
      <w:r w:rsidRPr="004035A4">
        <w:tab/>
        <w:t>Соколенко А.Л.</w:t>
      </w:r>
    </w:p>
    <w:p w:rsidR="0043703D" w:rsidRPr="00C15C86" w:rsidRDefault="0043703D" w:rsidP="0043703D">
      <w:pPr>
        <w:pStyle w:val="Standard"/>
        <w:ind w:firstLine="567"/>
        <w:rPr>
          <w:rFonts w:ascii="Times New Roman" w:hAnsi="Times New Roman" w:cs="Times New Roman"/>
          <w:b/>
        </w:rPr>
      </w:pPr>
    </w:p>
    <w:p w:rsidR="0043703D" w:rsidRDefault="0043703D" w:rsidP="0043703D">
      <w:pPr>
        <w:pStyle w:val="Textbody"/>
        <w:rPr>
          <w:lang w:eastAsia="uk-UA"/>
        </w:rPr>
      </w:pPr>
    </w:p>
    <w:p w:rsidR="0043703D" w:rsidRDefault="0043703D" w:rsidP="0043703D">
      <w:pPr>
        <w:pStyle w:val="Textbody"/>
        <w:rPr>
          <w:lang w:val="uk-UA" w:eastAsia="uk-UA"/>
        </w:rPr>
      </w:pPr>
    </w:p>
    <w:p w:rsidR="009550D6" w:rsidRPr="009550D6" w:rsidRDefault="009550D6" w:rsidP="0043703D">
      <w:pPr>
        <w:pStyle w:val="Textbody"/>
        <w:rPr>
          <w:lang w:val="uk-UA" w:eastAsia="uk-UA"/>
        </w:rPr>
      </w:pPr>
    </w:p>
    <w:p w:rsidR="0043703D" w:rsidRDefault="0043703D" w:rsidP="0043703D">
      <w:pPr>
        <w:pStyle w:val="11"/>
        <w:jc w:val="center"/>
        <w:outlineLvl w:val="9"/>
      </w:pPr>
      <w:r>
        <w:rPr>
          <w:rStyle w:val="14"/>
          <w:rFonts w:ascii="Times New Roman" w:hAnsi="Times New Roman" w:cs="Times New Roman"/>
          <w:color w:val="auto"/>
        </w:rPr>
        <w:t>Баланс (Звіт про фінансовий стан)</w:t>
      </w:r>
    </w:p>
    <w:p w:rsidR="0043703D" w:rsidRDefault="0043703D" w:rsidP="0043703D">
      <w:pPr>
        <w:pStyle w:val="Standard"/>
      </w:pPr>
      <w:r>
        <w:rPr>
          <w:rStyle w:val="14"/>
          <w:rFonts w:ascii="Times New Roman" w:hAnsi="Times New Roman" w:cs="Times New Roman"/>
          <w:sz w:val="20"/>
          <w:szCs w:val="20"/>
        </w:rPr>
        <w:t>станом на 31 грудня 201</w:t>
      </w:r>
      <w:r w:rsidR="0061533A">
        <w:rPr>
          <w:rStyle w:val="14"/>
          <w:rFonts w:ascii="Times New Roman" w:hAnsi="Times New Roman" w:cs="Times New Roman"/>
          <w:sz w:val="20"/>
          <w:szCs w:val="20"/>
        </w:rPr>
        <w:t>9</w:t>
      </w:r>
      <w:r>
        <w:rPr>
          <w:rStyle w:val="14"/>
          <w:rFonts w:ascii="Times New Roman" w:hAnsi="Times New Roman" w:cs="Times New Roman"/>
          <w:sz w:val="20"/>
          <w:szCs w:val="20"/>
          <w:lang w:val="ru-RU"/>
        </w:rPr>
        <w:t xml:space="preserve"> </w:t>
      </w:r>
      <w:r>
        <w:rPr>
          <w:rStyle w:val="14"/>
          <w:rFonts w:ascii="Times New Roman" w:hAnsi="Times New Roman" w:cs="Times New Roman"/>
          <w:sz w:val="20"/>
          <w:szCs w:val="20"/>
        </w:rPr>
        <w:t xml:space="preserve"> року</w:t>
      </w:r>
    </w:p>
    <w:p w:rsidR="0043703D" w:rsidRDefault="0043703D" w:rsidP="0043703D">
      <w:pPr>
        <w:pStyle w:val="Standard"/>
        <w:rPr>
          <w:rFonts w:ascii="Times New Roman" w:hAnsi="Times New Roman" w:cs="Times New Roman"/>
          <w:sz w:val="20"/>
          <w:szCs w:val="20"/>
        </w:rPr>
      </w:pPr>
      <w:r>
        <w:rPr>
          <w:rFonts w:ascii="Times New Roman" w:hAnsi="Times New Roman" w:cs="Times New Roman"/>
          <w:sz w:val="20"/>
          <w:szCs w:val="20"/>
        </w:rPr>
        <w:t>(в тис. гривень)</w:t>
      </w:r>
    </w:p>
    <w:tbl>
      <w:tblPr>
        <w:tblW w:w="8077" w:type="dxa"/>
        <w:tblInd w:w="108" w:type="dxa"/>
        <w:tblLayout w:type="fixed"/>
        <w:tblLook w:val="04A0"/>
      </w:tblPr>
      <w:tblGrid>
        <w:gridCol w:w="4193"/>
        <w:gridCol w:w="242"/>
        <w:gridCol w:w="886"/>
        <w:gridCol w:w="236"/>
        <w:gridCol w:w="1258"/>
        <w:gridCol w:w="1262"/>
      </w:tblGrid>
      <w:tr w:rsidR="0043703D" w:rsidTr="00C91E75">
        <w:trPr>
          <w:trHeight w:val="258"/>
        </w:trPr>
        <w:tc>
          <w:tcPr>
            <w:tcW w:w="4193" w:type="dxa"/>
            <w:tcBorders>
              <w:bottom w:val="single" w:sz="4" w:space="0" w:color="000000"/>
            </w:tcBorders>
            <w:tcMar>
              <w:top w:w="0" w:type="dxa"/>
              <w:left w:w="108" w:type="dxa"/>
              <w:bottom w:w="0" w:type="dxa"/>
              <w:right w:w="108" w:type="dxa"/>
            </w:tcMar>
            <w:vAlign w:val="center"/>
          </w:tcPr>
          <w:p w:rsidR="0043703D" w:rsidRDefault="0043703D" w:rsidP="007E7EBF">
            <w:pPr>
              <w:pStyle w:val="15"/>
              <w:jc w:val="left"/>
              <w:rPr>
                <w:sz w:val="20"/>
                <w:szCs w:val="20"/>
                <w:lang w:val="uk-UA" w:eastAsia="en-US"/>
              </w:rPr>
            </w:pPr>
            <w:r>
              <w:rPr>
                <w:sz w:val="20"/>
                <w:szCs w:val="20"/>
                <w:lang w:val="uk-UA" w:eastAsia="en-US"/>
              </w:rPr>
              <w:t> </w:t>
            </w:r>
          </w:p>
        </w:tc>
        <w:tc>
          <w:tcPr>
            <w:tcW w:w="1364" w:type="dxa"/>
            <w:gridSpan w:val="3"/>
            <w:tcBorders>
              <w:bottom w:val="single" w:sz="4" w:space="0" w:color="00000A"/>
            </w:tcBorders>
            <w:tcMar>
              <w:top w:w="0" w:type="dxa"/>
              <w:left w:w="108" w:type="dxa"/>
              <w:bottom w:w="0" w:type="dxa"/>
              <w:right w:w="108" w:type="dxa"/>
            </w:tcMar>
            <w:vAlign w:val="center"/>
          </w:tcPr>
          <w:p w:rsidR="0043703D" w:rsidRDefault="0043703D" w:rsidP="007E7EBF">
            <w:pPr>
              <w:pStyle w:val="15"/>
              <w:rPr>
                <w:sz w:val="20"/>
                <w:szCs w:val="20"/>
                <w:lang w:val="uk-UA" w:eastAsia="en-US"/>
              </w:rPr>
            </w:pPr>
            <w:r>
              <w:rPr>
                <w:sz w:val="20"/>
                <w:szCs w:val="20"/>
                <w:lang w:val="uk-UA" w:eastAsia="en-US"/>
              </w:rPr>
              <w:t>№ Примітки</w:t>
            </w:r>
          </w:p>
        </w:tc>
        <w:tc>
          <w:tcPr>
            <w:tcW w:w="1258" w:type="dxa"/>
            <w:tcBorders>
              <w:bottom w:val="single" w:sz="4" w:space="0" w:color="00000A"/>
            </w:tcBorders>
            <w:tcMar>
              <w:top w:w="0" w:type="dxa"/>
              <w:left w:w="108" w:type="dxa"/>
              <w:bottom w:w="0" w:type="dxa"/>
              <w:right w:w="108" w:type="dxa"/>
            </w:tcMar>
            <w:vAlign w:val="center"/>
          </w:tcPr>
          <w:p w:rsidR="0043703D" w:rsidRDefault="0043703D" w:rsidP="00A13263">
            <w:pPr>
              <w:pStyle w:val="15"/>
            </w:pPr>
            <w:r>
              <w:rPr>
                <w:rStyle w:val="14"/>
                <w:sz w:val="20"/>
                <w:szCs w:val="20"/>
                <w:lang w:eastAsia="en-US"/>
              </w:rPr>
              <w:t xml:space="preserve">31 грудня </w:t>
            </w:r>
            <w:r>
              <w:rPr>
                <w:rStyle w:val="14"/>
                <w:sz w:val="20"/>
                <w:szCs w:val="20"/>
                <w:lang w:val="uk-UA" w:eastAsia="en-US"/>
              </w:rPr>
              <w:t>201</w:t>
            </w:r>
            <w:r w:rsidR="00A13263">
              <w:rPr>
                <w:rStyle w:val="14"/>
                <w:sz w:val="20"/>
                <w:szCs w:val="20"/>
                <w:lang w:val="uk-UA" w:eastAsia="en-US"/>
              </w:rPr>
              <w:t>8</w:t>
            </w:r>
            <w:r>
              <w:rPr>
                <w:rStyle w:val="14"/>
                <w:sz w:val="20"/>
                <w:szCs w:val="20"/>
                <w:lang w:val="uk-UA" w:eastAsia="en-US"/>
              </w:rPr>
              <w:t>р.</w:t>
            </w:r>
          </w:p>
        </w:tc>
        <w:tc>
          <w:tcPr>
            <w:tcW w:w="1262" w:type="dxa"/>
            <w:tcBorders>
              <w:bottom w:val="single" w:sz="4" w:space="0" w:color="00000A"/>
            </w:tcBorders>
            <w:tcMar>
              <w:top w:w="0" w:type="dxa"/>
              <w:left w:w="108" w:type="dxa"/>
              <w:bottom w:w="0" w:type="dxa"/>
              <w:right w:w="108" w:type="dxa"/>
            </w:tcMar>
          </w:tcPr>
          <w:p w:rsidR="0043703D" w:rsidRDefault="00980EE8" w:rsidP="007E7EBF">
            <w:pPr>
              <w:pStyle w:val="15"/>
              <w:rPr>
                <w:sz w:val="20"/>
                <w:szCs w:val="20"/>
                <w:lang w:val="uk-UA" w:eastAsia="en-US"/>
              </w:rPr>
            </w:pPr>
            <w:r>
              <w:rPr>
                <w:sz w:val="20"/>
                <w:szCs w:val="20"/>
                <w:lang w:val="uk-UA" w:eastAsia="en-US"/>
              </w:rPr>
              <w:t>31 грудня 2019</w:t>
            </w:r>
            <w:r w:rsidR="0043703D">
              <w:rPr>
                <w:sz w:val="20"/>
                <w:szCs w:val="20"/>
                <w:lang w:val="uk-UA" w:eastAsia="en-US"/>
              </w:rPr>
              <w:t>р.</w:t>
            </w:r>
          </w:p>
        </w:tc>
      </w:tr>
      <w:tr w:rsidR="0043703D" w:rsidTr="00C91E75">
        <w:trPr>
          <w:trHeight w:val="258"/>
        </w:trPr>
        <w:tc>
          <w:tcPr>
            <w:tcW w:w="4193" w:type="dxa"/>
            <w:tcBorders>
              <w:top w:val="single" w:sz="4" w:space="0" w:color="000000"/>
            </w:tcBorders>
            <w:tcMar>
              <w:top w:w="0" w:type="dxa"/>
              <w:left w:w="108" w:type="dxa"/>
              <w:bottom w:w="0" w:type="dxa"/>
              <w:right w:w="108" w:type="dxa"/>
            </w:tcMar>
            <w:vAlign w:val="center"/>
          </w:tcPr>
          <w:p w:rsidR="0043703D" w:rsidRPr="004207EF" w:rsidRDefault="0043703D" w:rsidP="007E7EBF">
            <w:pPr>
              <w:pStyle w:val="Standard"/>
              <w:contextualSpacing/>
              <w:rPr>
                <w:rFonts w:ascii="Times New Roman" w:hAnsi="Times New Roman" w:cs="Times New Roman"/>
                <w:b/>
                <w:sz w:val="18"/>
                <w:szCs w:val="18"/>
                <w:lang w:eastAsia="en-US"/>
              </w:rPr>
            </w:pPr>
            <w:r w:rsidRPr="004207EF">
              <w:rPr>
                <w:rFonts w:ascii="Times New Roman" w:hAnsi="Times New Roman" w:cs="Times New Roman"/>
                <w:b/>
                <w:sz w:val="18"/>
                <w:szCs w:val="18"/>
                <w:lang w:eastAsia="en-US"/>
              </w:rPr>
              <w:t>Актив</w:t>
            </w:r>
          </w:p>
        </w:tc>
        <w:tc>
          <w:tcPr>
            <w:tcW w:w="242" w:type="dxa"/>
            <w:tcBorders>
              <w:top w:val="single" w:sz="4" w:space="0" w:color="000000"/>
              <w:right w:val="single" w:sz="4" w:space="0" w:color="000000"/>
            </w:tcBorders>
            <w:tcMar>
              <w:top w:w="0" w:type="dxa"/>
              <w:left w:w="108" w:type="dxa"/>
              <w:bottom w:w="0" w:type="dxa"/>
              <w:right w:w="108" w:type="dxa"/>
            </w:tcMar>
            <w:vAlign w:val="center"/>
          </w:tcPr>
          <w:p w:rsidR="0043703D" w:rsidRPr="004207EF"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top w:val="single" w:sz="4" w:space="0" w:color="00000A"/>
              <w:left w:val="single" w:sz="4" w:space="0" w:color="000000"/>
            </w:tcBorders>
            <w:tcMar>
              <w:top w:w="0" w:type="dxa"/>
              <w:left w:w="10" w:type="dxa"/>
              <w:bottom w:w="0" w:type="dxa"/>
              <w:right w:w="10" w:type="dxa"/>
            </w:tcMar>
            <w:vAlign w:val="center"/>
          </w:tcPr>
          <w:p w:rsidR="0043703D" w:rsidRPr="004207EF"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top w:val="single" w:sz="4" w:space="0" w:color="00000A"/>
              <w:left w:val="single" w:sz="4" w:space="0" w:color="000000"/>
            </w:tcBorders>
            <w:tcMar>
              <w:top w:w="0" w:type="dxa"/>
              <w:left w:w="108" w:type="dxa"/>
              <w:bottom w:w="0" w:type="dxa"/>
              <w:right w:w="108" w:type="dxa"/>
            </w:tcMar>
            <w:vAlign w:val="center"/>
          </w:tcPr>
          <w:p w:rsidR="0043703D" w:rsidRPr="004207EF"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Borders>
              <w:top w:val="single" w:sz="4" w:space="0" w:color="00000A"/>
            </w:tcBorders>
            <w:tcMar>
              <w:top w:w="0" w:type="dxa"/>
              <w:left w:w="108" w:type="dxa"/>
              <w:bottom w:w="0" w:type="dxa"/>
              <w:right w:w="108" w:type="dxa"/>
            </w:tcMar>
            <w:vAlign w:val="center"/>
          </w:tcPr>
          <w:p w:rsidR="0043703D" w:rsidRPr="004207EF" w:rsidRDefault="0043703D" w:rsidP="007E7EBF">
            <w:pPr>
              <w:pStyle w:val="Standard"/>
              <w:widowControl w:val="0"/>
              <w:contextualSpacing/>
              <w:jc w:val="center"/>
              <w:rPr>
                <w:rFonts w:ascii="Times New Roman" w:hAnsi="Times New Roman" w:cs="Times New Roman"/>
                <w:sz w:val="18"/>
                <w:szCs w:val="18"/>
                <w:lang w:eastAsia="en-US"/>
              </w:rPr>
            </w:pPr>
          </w:p>
        </w:tc>
        <w:tc>
          <w:tcPr>
            <w:tcW w:w="1262" w:type="dxa"/>
            <w:tcBorders>
              <w:top w:val="single" w:sz="4" w:space="0" w:color="00000A"/>
            </w:tcBorders>
            <w:tcMar>
              <w:top w:w="0" w:type="dxa"/>
              <w:left w:w="108" w:type="dxa"/>
              <w:bottom w:w="0" w:type="dxa"/>
              <w:right w:w="108" w:type="dxa"/>
            </w:tcMar>
          </w:tcPr>
          <w:p w:rsidR="0043703D" w:rsidRPr="004207EF" w:rsidRDefault="0043703D" w:rsidP="007E7EBF">
            <w:pPr>
              <w:pStyle w:val="15"/>
              <w:contextualSpacing/>
              <w:rPr>
                <w:sz w:val="18"/>
                <w:szCs w:val="18"/>
                <w:lang w:val="uk-UA" w:eastAsia="en-US"/>
              </w:rPr>
            </w:pPr>
          </w:p>
        </w:tc>
      </w:tr>
      <w:tr w:rsidR="0043703D" w:rsidRPr="002E6EAE" w:rsidTr="00C91E75">
        <w:trPr>
          <w:trHeight w:val="258"/>
        </w:trPr>
        <w:tc>
          <w:tcPr>
            <w:tcW w:w="4193" w:type="dxa"/>
            <w:tcMar>
              <w:top w:w="0" w:type="dxa"/>
              <w:left w:w="108" w:type="dxa"/>
              <w:bottom w:w="0" w:type="dxa"/>
              <w:right w:w="108" w:type="dxa"/>
            </w:tcMar>
            <w:vAlign w:val="center"/>
          </w:tcPr>
          <w:p w:rsidR="0043703D" w:rsidRPr="004207EF" w:rsidRDefault="0043703D" w:rsidP="007E7EBF">
            <w:pPr>
              <w:pStyle w:val="Standard"/>
              <w:contextualSpacing/>
              <w:rPr>
                <w:rFonts w:ascii="Times New Roman" w:hAnsi="Times New Roman" w:cs="Times New Roman"/>
                <w:b/>
                <w:sz w:val="18"/>
                <w:szCs w:val="18"/>
                <w:lang w:eastAsia="en-US"/>
              </w:rPr>
            </w:pPr>
            <w:r w:rsidRPr="004207EF">
              <w:rPr>
                <w:rFonts w:ascii="Times New Roman" w:hAnsi="Times New Roman" w:cs="Times New Roman"/>
                <w:b/>
                <w:sz w:val="18"/>
                <w:szCs w:val="18"/>
                <w:lang w:eastAsia="en-US"/>
              </w:rPr>
              <w:t>Необоротні активи</w:t>
            </w:r>
          </w:p>
        </w:tc>
        <w:tc>
          <w:tcPr>
            <w:tcW w:w="242" w:type="dxa"/>
            <w:tcBorders>
              <w:right w:val="single" w:sz="4" w:space="0" w:color="000000"/>
            </w:tcBorders>
            <w:tcMar>
              <w:top w:w="0" w:type="dxa"/>
              <w:left w:w="108" w:type="dxa"/>
              <w:bottom w:w="0" w:type="dxa"/>
              <w:right w:w="108" w:type="dxa"/>
            </w:tcMar>
            <w:vAlign w:val="center"/>
          </w:tcPr>
          <w:p w:rsidR="0043703D" w:rsidRPr="004207EF"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4207EF"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4207EF"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4207EF" w:rsidRDefault="0043703D" w:rsidP="007E7EBF">
            <w:pPr>
              <w:pStyle w:val="Standard"/>
              <w:widowControl w:val="0"/>
              <w:contextualSpacing/>
              <w:jc w:val="center"/>
              <w:rPr>
                <w:rFonts w:ascii="Times New Roman" w:hAnsi="Times New Roman" w:cs="Times New Roman"/>
                <w:sz w:val="18"/>
                <w:szCs w:val="18"/>
              </w:rPr>
            </w:pPr>
          </w:p>
        </w:tc>
        <w:tc>
          <w:tcPr>
            <w:tcW w:w="1262" w:type="dxa"/>
            <w:tcMar>
              <w:top w:w="0" w:type="dxa"/>
              <w:left w:w="108" w:type="dxa"/>
              <w:bottom w:w="0" w:type="dxa"/>
              <w:right w:w="108" w:type="dxa"/>
            </w:tcMar>
          </w:tcPr>
          <w:p w:rsidR="0043703D" w:rsidRPr="004207EF" w:rsidRDefault="0043703D" w:rsidP="007E7EBF">
            <w:pPr>
              <w:pStyle w:val="15"/>
              <w:contextualSpacing/>
              <w:rPr>
                <w:sz w:val="18"/>
                <w:szCs w:val="18"/>
                <w:lang w:val="uk-UA" w:eastAsia="en-US"/>
              </w:rPr>
            </w:pP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Основні засоби</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val="ru-RU" w:eastAsia="en-US"/>
              </w:rPr>
            </w:pPr>
            <w:r w:rsidRPr="0097036C">
              <w:rPr>
                <w:rFonts w:ascii="Times New Roman" w:hAnsi="Times New Roman" w:cs="Times New Roman"/>
                <w:sz w:val="18"/>
                <w:szCs w:val="18"/>
                <w:lang w:val="ru-RU" w:eastAsia="en-US"/>
              </w:rPr>
              <w:t>3.1.2</w:t>
            </w: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A13263" w:rsidP="007E7EBF">
            <w:pPr>
              <w:pStyle w:val="Standard"/>
              <w:widowControl w:val="0"/>
              <w:contextualSpacing/>
              <w:jc w:val="center"/>
              <w:rPr>
                <w:rFonts w:ascii="Times New Roman" w:hAnsi="Times New Roman" w:cs="Times New Roman"/>
                <w:sz w:val="18"/>
                <w:szCs w:val="18"/>
                <w:lang w:val="ru-RU"/>
              </w:rPr>
            </w:pPr>
            <w:r>
              <w:rPr>
                <w:rFonts w:ascii="Times New Roman" w:hAnsi="Times New Roman" w:cs="Times New Roman"/>
                <w:sz w:val="18"/>
                <w:szCs w:val="18"/>
                <w:lang w:val="ru-RU"/>
              </w:rPr>
              <w:t>118</w:t>
            </w:r>
          </w:p>
        </w:tc>
        <w:tc>
          <w:tcPr>
            <w:tcW w:w="1262" w:type="dxa"/>
            <w:tcMar>
              <w:top w:w="0" w:type="dxa"/>
              <w:left w:w="108" w:type="dxa"/>
              <w:bottom w:w="0" w:type="dxa"/>
              <w:right w:w="108" w:type="dxa"/>
            </w:tcMar>
          </w:tcPr>
          <w:p w:rsidR="0043703D" w:rsidRPr="0097036C" w:rsidRDefault="00E473A5" w:rsidP="007E7EBF">
            <w:pPr>
              <w:pStyle w:val="15"/>
              <w:contextualSpacing/>
              <w:rPr>
                <w:b w:val="0"/>
                <w:bCs w:val="0"/>
                <w:sz w:val="18"/>
                <w:szCs w:val="18"/>
                <w:lang w:val="uk-UA" w:eastAsia="en-US"/>
              </w:rPr>
            </w:pPr>
            <w:r w:rsidRPr="0097036C">
              <w:rPr>
                <w:b w:val="0"/>
                <w:bCs w:val="0"/>
                <w:sz w:val="18"/>
                <w:szCs w:val="18"/>
                <w:lang w:val="uk-UA" w:eastAsia="en-US"/>
              </w:rPr>
              <w:t>8</w:t>
            </w:r>
            <w:r w:rsidR="00980EE8">
              <w:rPr>
                <w:b w:val="0"/>
                <w:bCs w:val="0"/>
                <w:sz w:val="18"/>
                <w:szCs w:val="18"/>
                <w:lang w:val="uk-UA" w:eastAsia="en-US"/>
              </w:rPr>
              <w:t>5</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sz w:val="18"/>
                <w:szCs w:val="18"/>
                <w:lang w:eastAsia="en-US"/>
              </w:rPr>
            </w:pPr>
            <w:r w:rsidRPr="0097036C">
              <w:rPr>
                <w:rFonts w:ascii="Times New Roman" w:hAnsi="Times New Roman" w:cs="Times New Roman"/>
                <w:b/>
                <w:sz w:val="18"/>
                <w:szCs w:val="18"/>
                <w:lang w:eastAsia="en-US"/>
              </w:rPr>
              <w:t xml:space="preserve">Усього </w:t>
            </w:r>
            <w:r w:rsidRPr="0097036C">
              <w:rPr>
                <w:rFonts w:ascii="Times New Roman" w:hAnsi="Times New Roman" w:cs="Times New Roman"/>
                <w:sz w:val="18"/>
                <w:szCs w:val="18"/>
              </w:rPr>
              <w:t xml:space="preserve"> </w:t>
            </w:r>
            <w:r w:rsidRPr="0097036C">
              <w:rPr>
                <w:rFonts w:ascii="Times New Roman" w:hAnsi="Times New Roman" w:cs="Times New Roman"/>
                <w:b/>
                <w:sz w:val="18"/>
                <w:szCs w:val="18"/>
                <w:lang w:eastAsia="en-US"/>
              </w:rPr>
              <w:t>необоротних активів</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C91E75" w:rsidP="007E7EBF">
            <w:pPr>
              <w:pStyle w:val="Standard"/>
              <w:widowControl w:val="0"/>
              <w:contextualSpacing/>
              <w:jc w:val="center"/>
              <w:rPr>
                <w:rFonts w:ascii="Times New Roman" w:hAnsi="Times New Roman" w:cs="Times New Roman"/>
                <w:b/>
                <w:sz w:val="18"/>
                <w:szCs w:val="18"/>
                <w:lang w:val="ru-RU"/>
              </w:rPr>
            </w:pPr>
            <w:r w:rsidRPr="0097036C">
              <w:rPr>
                <w:rFonts w:ascii="Times New Roman" w:hAnsi="Times New Roman" w:cs="Times New Roman"/>
                <w:b/>
                <w:sz w:val="18"/>
                <w:szCs w:val="18"/>
                <w:lang w:val="ru-RU"/>
              </w:rPr>
              <w:t>1</w:t>
            </w:r>
            <w:r w:rsidR="00A13263">
              <w:rPr>
                <w:rFonts w:ascii="Times New Roman" w:hAnsi="Times New Roman" w:cs="Times New Roman"/>
                <w:b/>
                <w:sz w:val="18"/>
                <w:szCs w:val="18"/>
                <w:lang w:val="ru-RU"/>
              </w:rPr>
              <w:t>18</w:t>
            </w:r>
          </w:p>
        </w:tc>
        <w:tc>
          <w:tcPr>
            <w:tcW w:w="1262" w:type="dxa"/>
            <w:tcBorders>
              <w:top w:val="single" w:sz="4" w:space="0" w:color="00000A"/>
              <w:bottom w:val="single" w:sz="4" w:space="0" w:color="00000A"/>
            </w:tcBorders>
            <w:tcMar>
              <w:top w:w="0" w:type="dxa"/>
              <w:left w:w="108" w:type="dxa"/>
              <w:bottom w:w="0" w:type="dxa"/>
              <w:right w:w="108" w:type="dxa"/>
            </w:tcMar>
          </w:tcPr>
          <w:p w:rsidR="0043703D" w:rsidRPr="0097036C" w:rsidRDefault="00C91E75" w:rsidP="007E7EBF">
            <w:pPr>
              <w:pStyle w:val="15"/>
              <w:contextualSpacing/>
              <w:rPr>
                <w:sz w:val="18"/>
                <w:szCs w:val="18"/>
                <w:lang w:val="uk-UA" w:eastAsia="en-US"/>
              </w:rPr>
            </w:pPr>
            <w:r w:rsidRPr="0097036C">
              <w:rPr>
                <w:sz w:val="18"/>
                <w:szCs w:val="18"/>
                <w:lang w:val="uk-UA" w:eastAsia="en-US"/>
              </w:rPr>
              <w:t>8</w:t>
            </w:r>
            <w:r w:rsidR="00980EE8">
              <w:rPr>
                <w:sz w:val="18"/>
                <w:szCs w:val="18"/>
                <w:lang w:val="uk-UA" w:eastAsia="en-US"/>
              </w:rPr>
              <w:t>5</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sz w:val="18"/>
                <w:szCs w:val="18"/>
                <w:lang w:eastAsia="en-US"/>
              </w:rPr>
            </w:pPr>
            <w:r w:rsidRPr="0097036C">
              <w:rPr>
                <w:rFonts w:ascii="Times New Roman" w:hAnsi="Times New Roman" w:cs="Times New Roman"/>
                <w:b/>
                <w:sz w:val="18"/>
                <w:szCs w:val="18"/>
                <w:lang w:eastAsia="en-US"/>
              </w:rPr>
              <w:t>Оборотні активи</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Borders>
              <w:top w:val="single" w:sz="4" w:space="0" w:color="00000A"/>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rPr>
            </w:pPr>
          </w:p>
        </w:tc>
        <w:tc>
          <w:tcPr>
            <w:tcW w:w="1262" w:type="dxa"/>
            <w:tcBorders>
              <w:top w:val="single" w:sz="4" w:space="0" w:color="00000A"/>
            </w:tcBorders>
            <w:tcMar>
              <w:top w:w="0" w:type="dxa"/>
              <w:left w:w="108" w:type="dxa"/>
              <w:bottom w:w="0" w:type="dxa"/>
              <w:right w:w="108" w:type="dxa"/>
            </w:tcMar>
          </w:tcPr>
          <w:p w:rsidR="0043703D" w:rsidRPr="0097036C" w:rsidRDefault="0043703D" w:rsidP="007E7EBF">
            <w:pPr>
              <w:pStyle w:val="15"/>
              <w:contextualSpacing/>
              <w:rPr>
                <w:sz w:val="18"/>
                <w:szCs w:val="18"/>
                <w:lang w:val="uk-UA" w:eastAsia="en-US"/>
              </w:rPr>
            </w:pPr>
          </w:p>
        </w:tc>
      </w:tr>
      <w:tr w:rsidR="0043703D" w:rsidRPr="0097036C" w:rsidTr="00C91E75">
        <w:trPr>
          <w:trHeight w:val="258"/>
        </w:trPr>
        <w:tc>
          <w:tcPr>
            <w:tcW w:w="4193" w:type="dxa"/>
            <w:tcMar>
              <w:top w:w="0" w:type="dxa"/>
              <w:left w:w="108" w:type="dxa"/>
              <w:bottom w:w="0" w:type="dxa"/>
              <w:right w:w="108" w:type="dxa"/>
            </w:tcMar>
            <w:vAlign w:val="center"/>
          </w:tcPr>
          <w:p w:rsidR="0043703D" w:rsidRDefault="0043703D" w:rsidP="007E7EBF">
            <w:pPr>
              <w:pStyle w:val="Standard"/>
              <w:contextualSpacing/>
              <w:jc w:val="center"/>
              <w:rPr>
                <w:rFonts w:ascii="Times New Roman" w:hAnsi="Times New Roman" w:cs="Times New Roman"/>
                <w:sz w:val="18"/>
                <w:szCs w:val="18"/>
                <w:lang w:val="ru-RU" w:eastAsia="en-US"/>
              </w:rPr>
            </w:pPr>
            <w:r w:rsidRPr="0097036C">
              <w:rPr>
                <w:rFonts w:ascii="Times New Roman" w:hAnsi="Times New Roman" w:cs="Times New Roman"/>
                <w:sz w:val="18"/>
                <w:szCs w:val="18"/>
                <w:lang w:eastAsia="en-US"/>
              </w:rPr>
              <w:t>Дебіторська заборгованість за продукцію, товари, роботи, послуги</w:t>
            </w:r>
          </w:p>
          <w:p w:rsidR="00BF2F6E" w:rsidRPr="00BF2F6E" w:rsidRDefault="00BF2F6E" w:rsidP="00BF2F6E">
            <w:pPr>
              <w:pStyle w:val="Standard"/>
              <w:contextualSpacing/>
              <w:rPr>
                <w:rFonts w:ascii="Times New Roman" w:hAnsi="Times New Roman" w:cs="Times New Roman"/>
                <w:sz w:val="18"/>
                <w:szCs w:val="18"/>
                <w:lang w:val="ru-RU" w:eastAsia="en-US"/>
              </w:rPr>
            </w:pPr>
            <w:r>
              <w:rPr>
                <w:rFonts w:ascii="Times New Roman" w:hAnsi="Times New Roman" w:cs="Times New Roman"/>
                <w:sz w:val="18"/>
                <w:szCs w:val="18"/>
                <w:lang w:val="ru-RU" w:eastAsia="en-US"/>
              </w:rPr>
              <w:t>З бюджетом</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Default="0043703D" w:rsidP="007E7EBF">
            <w:pPr>
              <w:pStyle w:val="Standard"/>
              <w:widowControl w:val="0"/>
              <w:contextualSpacing/>
              <w:jc w:val="center"/>
              <w:rPr>
                <w:rFonts w:ascii="Times New Roman" w:hAnsi="Times New Roman" w:cs="Times New Roman"/>
                <w:sz w:val="18"/>
                <w:szCs w:val="18"/>
                <w:lang w:val="ru-RU" w:eastAsia="en-US"/>
              </w:rPr>
            </w:pPr>
            <w:r w:rsidRPr="0097036C">
              <w:rPr>
                <w:rFonts w:ascii="Times New Roman" w:hAnsi="Times New Roman" w:cs="Times New Roman"/>
                <w:sz w:val="18"/>
                <w:szCs w:val="18"/>
                <w:lang w:val="ru-RU" w:eastAsia="en-US"/>
              </w:rPr>
              <w:t>3.1.6</w:t>
            </w:r>
          </w:p>
          <w:p w:rsidR="00BF2F6E" w:rsidRPr="0097036C" w:rsidRDefault="00BF2F6E" w:rsidP="007E7EBF">
            <w:pPr>
              <w:pStyle w:val="Standard"/>
              <w:widowControl w:val="0"/>
              <w:contextualSpacing/>
              <w:jc w:val="center"/>
              <w:rPr>
                <w:rFonts w:ascii="Times New Roman" w:hAnsi="Times New Roman" w:cs="Times New Roman"/>
                <w:sz w:val="18"/>
                <w:szCs w:val="18"/>
                <w:lang w:val="ru-RU"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Default="00C91E75" w:rsidP="00A13263">
            <w:pPr>
              <w:pStyle w:val="Standard"/>
              <w:widowControl w:val="0"/>
              <w:contextualSpacing/>
              <w:jc w:val="center"/>
              <w:rPr>
                <w:rFonts w:ascii="Times New Roman" w:hAnsi="Times New Roman" w:cs="Times New Roman"/>
                <w:sz w:val="18"/>
                <w:szCs w:val="18"/>
                <w:lang w:val="ru-RU"/>
              </w:rPr>
            </w:pPr>
            <w:r w:rsidRPr="0097036C">
              <w:rPr>
                <w:rFonts w:ascii="Times New Roman" w:hAnsi="Times New Roman" w:cs="Times New Roman"/>
                <w:sz w:val="18"/>
                <w:szCs w:val="18"/>
                <w:lang w:val="ru-RU"/>
              </w:rPr>
              <w:t>1</w:t>
            </w:r>
            <w:r w:rsidR="00A13263">
              <w:rPr>
                <w:rFonts w:ascii="Times New Roman" w:hAnsi="Times New Roman" w:cs="Times New Roman"/>
                <w:sz w:val="18"/>
                <w:szCs w:val="18"/>
                <w:lang w:val="ru-RU"/>
              </w:rPr>
              <w:t>547</w:t>
            </w:r>
          </w:p>
          <w:p w:rsidR="00BF2F6E" w:rsidRPr="0097036C" w:rsidRDefault="00BF2F6E" w:rsidP="00A13263">
            <w:pPr>
              <w:pStyle w:val="Standard"/>
              <w:widowControl w:val="0"/>
              <w:contextualSpacing/>
              <w:jc w:val="center"/>
              <w:rPr>
                <w:rFonts w:ascii="Times New Roman" w:hAnsi="Times New Roman" w:cs="Times New Roman"/>
                <w:sz w:val="18"/>
                <w:szCs w:val="18"/>
                <w:lang w:val="ru-RU"/>
              </w:rPr>
            </w:pPr>
          </w:p>
        </w:tc>
        <w:tc>
          <w:tcPr>
            <w:tcW w:w="1262" w:type="dxa"/>
            <w:tcMar>
              <w:top w:w="0" w:type="dxa"/>
              <w:left w:w="108" w:type="dxa"/>
              <w:bottom w:w="0" w:type="dxa"/>
              <w:right w:w="108" w:type="dxa"/>
            </w:tcMar>
            <w:vAlign w:val="center"/>
          </w:tcPr>
          <w:p w:rsidR="0043703D" w:rsidRDefault="00C91E75" w:rsidP="00980EE8">
            <w:pPr>
              <w:pStyle w:val="15"/>
              <w:contextualSpacing/>
              <w:rPr>
                <w:b w:val="0"/>
                <w:bCs w:val="0"/>
                <w:sz w:val="18"/>
                <w:szCs w:val="18"/>
                <w:lang w:val="uk-UA" w:eastAsia="en-US"/>
              </w:rPr>
            </w:pPr>
            <w:r w:rsidRPr="0097036C">
              <w:rPr>
                <w:b w:val="0"/>
                <w:bCs w:val="0"/>
                <w:sz w:val="18"/>
                <w:szCs w:val="18"/>
                <w:lang w:val="uk-UA" w:eastAsia="en-US"/>
              </w:rPr>
              <w:t>14</w:t>
            </w:r>
            <w:r w:rsidR="00980EE8">
              <w:rPr>
                <w:b w:val="0"/>
                <w:bCs w:val="0"/>
                <w:sz w:val="18"/>
                <w:szCs w:val="18"/>
                <w:lang w:val="uk-UA" w:eastAsia="en-US"/>
              </w:rPr>
              <w:t>6</w:t>
            </w:r>
            <w:r w:rsidRPr="0097036C">
              <w:rPr>
                <w:b w:val="0"/>
                <w:bCs w:val="0"/>
                <w:sz w:val="18"/>
                <w:szCs w:val="18"/>
                <w:lang w:val="uk-UA" w:eastAsia="en-US"/>
              </w:rPr>
              <w:t>7</w:t>
            </w:r>
          </w:p>
          <w:p w:rsidR="00BF2F6E" w:rsidRPr="00BF2F6E" w:rsidRDefault="00BF2F6E" w:rsidP="00BF2F6E">
            <w:pPr>
              <w:jc w:val="center"/>
              <w:rPr>
                <w:sz w:val="20"/>
                <w:lang w:val="ru-RU"/>
              </w:rPr>
            </w:pPr>
            <w:r w:rsidRPr="00BF2F6E">
              <w:rPr>
                <w:sz w:val="20"/>
                <w:lang w:val="ru-RU"/>
              </w:rPr>
              <w:t>2</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Інша поточна дебіторська заборгованість</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A13263" w:rsidP="007E7EBF">
            <w:pPr>
              <w:pStyle w:val="Standard"/>
              <w:widowControl w:val="0"/>
              <w:contextualSpacing/>
              <w:jc w:val="center"/>
              <w:rPr>
                <w:rFonts w:ascii="Times New Roman" w:hAnsi="Times New Roman" w:cs="Times New Roman"/>
                <w:sz w:val="18"/>
                <w:szCs w:val="18"/>
                <w:lang w:val="ru-RU"/>
              </w:rPr>
            </w:pPr>
            <w:r>
              <w:rPr>
                <w:rFonts w:ascii="Times New Roman" w:hAnsi="Times New Roman" w:cs="Times New Roman"/>
                <w:sz w:val="18"/>
                <w:szCs w:val="18"/>
                <w:lang w:val="ru-RU"/>
              </w:rPr>
              <w:t>7</w:t>
            </w:r>
            <w:r w:rsidR="00E473A5" w:rsidRPr="0097036C">
              <w:rPr>
                <w:rFonts w:ascii="Times New Roman" w:hAnsi="Times New Roman" w:cs="Times New Roman"/>
                <w:sz w:val="18"/>
                <w:szCs w:val="18"/>
                <w:lang w:val="ru-RU"/>
              </w:rPr>
              <w:t>8</w:t>
            </w:r>
          </w:p>
        </w:tc>
        <w:tc>
          <w:tcPr>
            <w:tcW w:w="1262" w:type="dxa"/>
            <w:tcMar>
              <w:top w:w="0" w:type="dxa"/>
              <w:left w:w="108" w:type="dxa"/>
              <w:bottom w:w="0" w:type="dxa"/>
              <w:right w:w="108" w:type="dxa"/>
            </w:tcMar>
          </w:tcPr>
          <w:p w:rsidR="0043703D" w:rsidRPr="0097036C" w:rsidRDefault="0043703D" w:rsidP="007E7EBF">
            <w:pPr>
              <w:pStyle w:val="15"/>
              <w:contextualSpacing/>
              <w:rPr>
                <w:b w:val="0"/>
                <w:bCs w:val="0"/>
                <w:sz w:val="18"/>
                <w:szCs w:val="18"/>
                <w:lang w:val="uk-UA" w:eastAsia="en-US"/>
              </w:rPr>
            </w:pP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Гроші та їх еквіваленти:</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val="ru-RU" w:eastAsia="en-US"/>
              </w:rPr>
            </w:pPr>
            <w:r w:rsidRPr="0097036C">
              <w:rPr>
                <w:rFonts w:ascii="Times New Roman" w:hAnsi="Times New Roman" w:cs="Times New Roman"/>
                <w:sz w:val="18"/>
                <w:szCs w:val="18"/>
                <w:lang w:val="ru-RU" w:eastAsia="en-US"/>
              </w:rPr>
              <w:t>3.1.7</w:t>
            </w: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val="ru-RU" w:eastAsia="en-US"/>
              </w:rPr>
            </w:pPr>
          </w:p>
        </w:tc>
        <w:tc>
          <w:tcPr>
            <w:tcW w:w="1258" w:type="dxa"/>
            <w:tcMar>
              <w:top w:w="0" w:type="dxa"/>
              <w:left w:w="108" w:type="dxa"/>
              <w:bottom w:w="0" w:type="dxa"/>
              <w:right w:w="108" w:type="dxa"/>
            </w:tcMar>
          </w:tcPr>
          <w:p w:rsidR="0043703D" w:rsidRPr="0097036C" w:rsidRDefault="00E473A5" w:rsidP="00A13263">
            <w:pPr>
              <w:contextualSpacing/>
              <w:jc w:val="center"/>
              <w:rPr>
                <w:sz w:val="18"/>
                <w:szCs w:val="18"/>
                <w:lang w:val="ru-RU"/>
              </w:rPr>
            </w:pPr>
            <w:r w:rsidRPr="0097036C">
              <w:rPr>
                <w:sz w:val="18"/>
                <w:szCs w:val="18"/>
                <w:lang w:val="ru-RU"/>
              </w:rPr>
              <w:t>34</w:t>
            </w:r>
          </w:p>
        </w:tc>
        <w:tc>
          <w:tcPr>
            <w:tcW w:w="1262" w:type="dxa"/>
            <w:tcMar>
              <w:top w:w="0" w:type="dxa"/>
              <w:left w:w="108" w:type="dxa"/>
              <w:bottom w:w="0" w:type="dxa"/>
              <w:right w:w="108" w:type="dxa"/>
            </w:tcMar>
          </w:tcPr>
          <w:p w:rsidR="0043703D" w:rsidRPr="0097036C" w:rsidRDefault="00980EE8" w:rsidP="007E7EBF">
            <w:pPr>
              <w:contextualSpacing/>
              <w:jc w:val="center"/>
              <w:rPr>
                <w:sz w:val="18"/>
                <w:szCs w:val="18"/>
                <w:lang w:val="ru-RU"/>
              </w:rPr>
            </w:pPr>
            <w:r>
              <w:rPr>
                <w:sz w:val="18"/>
                <w:szCs w:val="18"/>
                <w:lang w:val="ru-RU"/>
              </w:rPr>
              <w:t>250</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Готівка</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E473A5">
            <w:pPr>
              <w:pStyle w:val="Standard"/>
              <w:widowControl w:val="0"/>
              <w:contextualSpacing/>
              <w:rPr>
                <w:rFonts w:ascii="Times New Roman" w:hAnsi="Times New Roman" w:cs="Times New Roman"/>
                <w:sz w:val="18"/>
                <w:szCs w:val="18"/>
                <w:lang w:val="ru-RU" w:eastAsia="en-US"/>
              </w:rPr>
            </w:pPr>
          </w:p>
        </w:tc>
        <w:tc>
          <w:tcPr>
            <w:tcW w:w="1258" w:type="dxa"/>
            <w:tcMar>
              <w:top w:w="0" w:type="dxa"/>
              <w:left w:w="108" w:type="dxa"/>
              <w:bottom w:w="0" w:type="dxa"/>
              <w:right w:w="108" w:type="dxa"/>
            </w:tcMar>
          </w:tcPr>
          <w:p w:rsidR="0043703D" w:rsidRPr="0097036C" w:rsidRDefault="00E473A5" w:rsidP="00A13263">
            <w:pPr>
              <w:contextualSpacing/>
              <w:jc w:val="center"/>
              <w:rPr>
                <w:sz w:val="18"/>
                <w:szCs w:val="18"/>
                <w:lang w:val="ru-RU"/>
              </w:rPr>
            </w:pPr>
            <w:r w:rsidRPr="0097036C">
              <w:rPr>
                <w:sz w:val="18"/>
                <w:szCs w:val="18"/>
                <w:lang w:val="ru-RU"/>
              </w:rPr>
              <w:t>2</w:t>
            </w:r>
            <w:r w:rsidR="00A13263">
              <w:rPr>
                <w:sz w:val="18"/>
                <w:szCs w:val="18"/>
                <w:lang w:val="ru-RU"/>
              </w:rPr>
              <w:t>0</w:t>
            </w:r>
          </w:p>
        </w:tc>
        <w:tc>
          <w:tcPr>
            <w:tcW w:w="1262" w:type="dxa"/>
            <w:tcMar>
              <w:top w:w="0" w:type="dxa"/>
              <w:left w:w="108" w:type="dxa"/>
              <w:bottom w:w="0" w:type="dxa"/>
              <w:right w:w="108" w:type="dxa"/>
            </w:tcMar>
          </w:tcPr>
          <w:p w:rsidR="0043703D" w:rsidRPr="0097036C" w:rsidRDefault="00980EE8" w:rsidP="007E7EBF">
            <w:pPr>
              <w:contextualSpacing/>
              <w:jc w:val="center"/>
              <w:rPr>
                <w:sz w:val="18"/>
                <w:szCs w:val="18"/>
                <w:lang w:val="ru-RU"/>
              </w:rPr>
            </w:pPr>
            <w:r>
              <w:rPr>
                <w:sz w:val="18"/>
                <w:szCs w:val="18"/>
                <w:lang w:val="ru-RU"/>
              </w:rPr>
              <w:t>13</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Рахунки в банках</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A13263" w:rsidP="007E7EBF">
            <w:pPr>
              <w:pStyle w:val="Standard"/>
              <w:contextualSpacing/>
              <w:jc w:val="center"/>
              <w:rPr>
                <w:rFonts w:ascii="Times New Roman" w:hAnsi="Times New Roman" w:cs="Times New Roman"/>
                <w:sz w:val="18"/>
                <w:szCs w:val="18"/>
                <w:lang w:val="ru-RU"/>
              </w:rPr>
            </w:pPr>
            <w:r>
              <w:rPr>
                <w:rFonts w:ascii="Times New Roman" w:hAnsi="Times New Roman" w:cs="Times New Roman"/>
                <w:sz w:val="18"/>
                <w:szCs w:val="18"/>
                <w:lang w:val="ru-RU"/>
              </w:rPr>
              <w:t>1</w:t>
            </w:r>
            <w:r w:rsidR="00E473A5" w:rsidRPr="0097036C">
              <w:rPr>
                <w:rFonts w:ascii="Times New Roman" w:hAnsi="Times New Roman" w:cs="Times New Roman"/>
                <w:sz w:val="18"/>
                <w:szCs w:val="18"/>
                <w:lang w:val="ru-RU"/>
              </w:rPr>
              <w:t>4</w:t>
            </w:r>
          </w:p>
        </w:tc>
        <w:tc>
          <w:tcPr>
            <w:tcW w:w="1262" w:type="dxa"/>
            <w:tcMar>
              <w:top w:w="0" w:type="dxa"/>
              <w:left w:w="108" w:type="dxa"/>
              <w:bottom w:w="0" w:type="dxa"/>
              <w:right w:w="108" w:type="dxa"/>
            </w:tcMar>
          </w:tcPr>
          <w:p w:rsidR="0043703D" w:rsidRPr="0097036C" w:rsidRDefault="00980EE8" w:rsidP="007E7EBF">
            <w:pPr>
              <w:pStyle w:val="15"/>
              <w:contextualSpacing/>
              <w:rPr>
                <w:b w:val="0"/>
                <w:bCs w:val="0"/>
                <w:sz w:val="18"/>
                <w:szCs w:val="18"/>
                <w:lang w:val="uk-UA" w:eastAsia="en-US"/>
              </w:rPr>
            </w:pPr>
            <w:r>
              <w:rPr>
                <w:b w:val="0"/>
                <w:bCs w:val="0"/>
                <w:sz w:val="18"/>
                <w:szCs w:val="18"/>
                <w:lang w:val="uk-UA" w:eastAsia="en-US"/>
              </w:rPr>
              <w:t>237</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sz w:val="18"/>
                <w:szCs w:val="18"/>
                <w:lang w:eastAsia="en-US"/>
              </w:rPr>
            </w:pPr>
            <w:r w:rsidRPr="0097036C">
              <w:rPr>
                <w:rFonts w:ascii="Times New Roman" w:hAnsi="Times New Roman" w:cs="Times New Roman"/>
                <w:b/>
                <w:sz w:val="18"/>
                <w:szCs w:val="18"/>
                <w:lang w:eastAsia="en-US"/>
              </w:rPr>
              <w:t>Усього оборотних активів</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C91E75" w:rsidP="00A13263">
            <w:pPr>
              <w:pStyle w:val="Standard"/>
              <w:widowControl w:val="0"/>
              <w:contextualSpacing/>
              <w:jc w:val="center"/>
              <w:rPr>
                <w:rFonts w:ascii="Times New Roman" w:hAnsi="Times New Roman" w:cs="Times New Roman"/>
                <w:b/>
                <w:sz w:val="18"/>
                <w:szCs w:val="18"/>
                <w:lang w:val="ru-RU"/>
              </w:rPr>
            </w:pPr>
            <w:r w:rsidRPr="0097036C">
              <w:rPr>
                <w:rFonts w:ascii="Times New Roman" w:hAnsi="Times New Roman" w:cs="Times New Roman"/>
                <w:b/>
                <w:sz w:val="18"/>
                <w:szCs w:val="18"/>
                <w:lang w:val="ru-RU"/>
              </w:rPr>
              <w:t>16</w:t>
            </w:r>
            <w:r w:rsidR="00A13263">
              <w:rPr>
                <w:rFonts w:ascii="Times New Roman" w:hAnsi="Times New Roman" w:cs="Times New Roman"/>
                <w:b/>
                <w:sz w:val="18"/>
                <w:szCs w:val="18"/>
                <w:lang w:val="ru-RU"/>
              </w:rPr>
              <w:t>59</w:t>
            </w:r>
          </w:p>
        </w:tc>
        <w:tc>
          <w:tcPr>
            <w:tcW w:w="1262" w:type="dxa"/>
            <w:tcBorders>
              <w:top w:val="single" w:sz="4" w:space="0" w:color="00000A"/>
              <w:bottom w:val="single" w:sz="4" w:space="0" w:color="00000A"/>
            </w:tcBorders>
            <w:tcMar>
              <w:top w:w="0" w:type="dxa"/>
              <w:left w:w="108" w:type="dxa"/>
              <w:bottom w:w="0" w:type="dxa"/>
              <w:right w:w="108" w:type="dxa"/>
            </w:tcMar>
          </w:tcPr>
          <w:p w:rsidR="0043703D" w:rsidRPr="0097036C" w:rsidRDefault="00C91E75" w:rsidP="00BF2F6E">
            <w:pPr>
              <w:pStyle w:val="15"/>
              <w:contextualSpacing/>
              <w:rPr>
                <w:sz w:val="18"/>
                <w:szCs w:val="18"/>
                <w:lang w:val="uk-UA" w:eastAsia="en-US"/>
              </w:rPr>
            </w:pPr>
            <w:r w:rsidRPr="0097036C">
              <w:rPr>
                <w:sz w:val="18"/>
                <w:szCs w:val="18"/>
                <w:lang w:val="uk-UA" w:eastAsia="en-US"/>
              </w:rPr>
              <w:t>1</w:t>
            </w:r>
            <w:r w:rsidR="00BF2F6E">
              <w:rPr>
                <w:sz w:val="18"/>
                <w:szCs w:val="18"/>
                <w:lang w:val="uk-UA" w:eastAsia="en-US"/>
              </w:rPr>
              <w:t>71</w:t>
            </w:r>
            <w:r w:rsidRPr="0097036C">
              <w:rPr>
                <w:sz w:val="18"/>
                <w:szCs w:val="18"/>
                <w:lang w:val="uk-UA" w:eastAsia="en-US"/>
              </w:rPr>
              <w:t>9</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i/>
                <w:sz w:val="18"/>
                <w:szCs w:val="18"/>
                <w:lang w:eastAsia="en-US"/>
              </w:rPr>
            </w:pPr>
            <w:r w:rsidRPr="0097036C">
              <w:rPr>
                <w:rFonts w:ascii="Times New Roman" w:hAnsi="Times New Roman" w:cs="Times New Roman"/>
                <w:b/>
                <w:i/>
                <w:sz w:val="18"/>
                <w:szCs w:val="18"/>
                <w:lang w:eastAsia="en-US"/>
              </w:rPr>
              <w:t>Баланс</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i/>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b/>
                <w:i/>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i/>
                <w:sz w:val="18"/>
                <w:szCs w:val="18"/>
                <w:lang w:eastAsia="en-US"/>
              </w:rPr>
            </w:pPr>
          </w:p>
        </w:tc>
        <w:tc>
          <w:tcPr>
            <w:tcW w:w="1258"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C91E75" w:rsidP="00A13263">
            <w:pPr>
              <w:pStyle w:val="Standard"/>
              <w:contextualSpacing/>
              <w:jc w:val="center"/>
              <w:rPr>
                <w:rFonts w:ascii="Times New Roman" w:hAnsi="Times New Roman" w:cs="Times New Roman"/>
                <w:b/>
                <w:sz w:val="18"/>
                <w:szCs w:val="18"/>
                <w:lang w:val="ru-RU"/>
              </w:rPr>
            </w:pPr>
            <w:r w:rsidRPr="0097036C">
              <w:rPr>
                <w:rFonts w:ascii="Times New Roman" w:hAnsi="Times New Roman" w:cs="Times New Roman"/>
                <w:b/>
                <w:sz w:val="18"/>
                <w:szCs w:val="18"/>
                <w:lang w:val="ru-RU"/>
              </w:rPr>
              <w:t>17</w:t>
            </w:r>
            <w:r w:rsidR="00A13263">
              <w:rPr>
                <w:rFonts w:ascii="Times New Roman" w:hAnsi="Times New Roman" w:cs="Times New Roman"/>
                <w:b/>
                <w:sz w:val="18"/>
                <w:szCs w:val="18"/>
                <w:lang w:val="ru-RU"/>
              </w:rPr>
              <w:t>77</w:t>
            </w:r>
          </w:p>
        </w:tc>
        <w:tc>
          <w:tcPr>
            <w:tcW w:w="1262" w:type="dxa"/>
            <w:tcBorders>
              <w:top w:val="single" w:sz="4" w:space="0" w:color="00000A"/>
              <w:bottom w:val="single" w:sz="4" w:space="0" w:color="00000A"/>
            </w:tcBorders>
            <w:tcMar>
              <w:top w:w="0" w:type="dxa"/>
              <w:left w:w="108" w:type="dxa"/>
              <w:bottom w:w="0" w:type="dxa"/>
              <w:right w:w="108" w:type="dxa"/>
            </w:tcMar>
          </w:tcPr>
          <w:p w:rsidR="0043703D" w:rsidRPr="0097036C" w:rsidRDefault="00C91E75" w:rsidP="00BF2F6E">
            <w:pPr>
              <w:pStyle w:val="15"/>
              <w:contextualSpacing/>
              <w:rPr>
                <w:sz w:val="18"/>
                <w:szCs w:val="18"/>
              </w:rPr>
            </w:pPr>
            <w:r w:rsidRPr="0097036C">
              <w:rPr>
                <w:sz w:val="18"/>
                <w:szCs w:val="18"/>
              </w:rPr>
              <w:t>1</w:t>
            </w:r>
            <w:r w:rsidR="00BF2F6E">
              <w:rPr>
                <w:sz w:val="18"/>
                <w:szCs w:val="18"/>
              </w:rPr>
              <w:t>804</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sz w:val="18"/>
                <w:szCs w:val="18"/>
                <w:lang w:eastAsia="en-US"/>
              </w:rPr>
            </w:pP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Borders>
              <w:top w:val="single" w:sz="4" w:space="0" w:color="00000A"/>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rPr>
            </w:pPr>
          </w:p>
        </w:tc>
        <w:tc>
          <w:tcPr>
            <w:tcW w:w="1262" w:type="dxa"/>
            <w:tcBorders>
              <w:top w:val="single" w:sz="4" w:space="0" w:color="00000A"/>
            </w:tcBorders>
            <w:tcMar>
              <w:top w:w="0" w:type="dxa"/>
              <w:left w:w="108" w:type="dxa"/>
              <w:bottom w:w="0" w:type="dxa"/>
              <w:right w:w="108" w:type="dxa"/>
            </w:tcMar>
          </w:tcPr>
          <w:p w:rsidR="0043703D" w:rsidRPr="0097036C" w:rsidRDefault="0043703D" w:rsidP="007E7EBF">
            <w:pPr>
              <w:pStyle w:val="15"/>
              <w:contextualSpacing/>
              <w:rPr>
                <w:sz w:val="18"/>
                <w:szCs w:val="18"/>
                <w:lang w:val="uk-UA" w:eastAsia="en-US"/>
              </w:rPr>
            </w:pP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sz w:val="18"/>
                <w:szCs w:val="18"/>
                <w:lang w:eastAsia="en-US"/>
              </w:rPr>
            </w:pPr>
            <w:r w:rsidRPr="0097036C">
              <w:rPr>
                <w:rFonts w:ascii="Times New Roman" w:hAnsi="Times New Roman" w:cs="Times New Roman"/>
                <w:b/>
                <w:sz w:val="18"/>
                <w:szCs w:val="18"/>
                <w:lang w:eastAsia="en-US"/>
              </w:rPr>
              <w:t>Пасив</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1258" w:type="dxa"/>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62" w:type="dxa"/>
            <w:tcMar>
              <w:top w:w="0" w:type="dxa"/>
              <w:left w:w="108" w:type="dxa"/>
              <w:bottom w:w="0" w:type="dxa"/>
              <w:right w:w="108" w:type="dxa"/>
            </w:tcMar>
          </w:tcPr>
          <w:p w:rsidR="0043703D" w:rsidRPr="0097036C" w:rsidRDefault="0043703D" w:rsidP="007E7EBF">
            <w:pPr>
              <w:pStyle w:val="15"/>
              <w:contextualSpacing/>
              <w:rPr>
                <w:sz w:val="18"/>
                <w:szCs w:val="18"/>
                <w:lang w:val="uk-UA" w:eastAsia="en-US"/>
              </w:rPr>
            </w:pP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rPr>
            </w:pPr>
            <w:r w:rsidRPr="0097036C">
              <w:rPr>
                <w:rStyle w:val="14"/>
                <w:rFonts w:ascii="Times New Roman" w:hAnsi="Times New Roman" w:cs="Times New Roman"/>
                <w:b/>
                <w:bCs/>
                <w:sz w:val="18"/>
                <w:szCs w:val="18"/>
                <w:lang w:eastAsia="en-US"/>
              </w:rPr>
              <w:t xml:space="preserve">Поточні </w:t>
            </w:r>
            <w:r w:rsidRPr="0097036C">
              <w:rPr>
                <w:rStyle w:val="14"/>
                <w:rFonts w:ascii="Times New Roman" w:hAnsi="Times New Roman" w:cs="Times New Roman"/>
                <w:b/>
                <w:sz w:val="18"/>
                <w:szCs w:val="18"/>
                <w:lang w:eastAsia="en-US"/>
              </w:rPr>
              <w:t>зобов'язання і забезпечення</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bCs/>
                <w:sz w:val="18"/>
                <w:szCs w:val="18"/>
                <w:lang w:val="ru-RU" w:eastAsia="en-US"/>
              </w:rPr>
            </w:pPr>
            <w:r w:rsidRPr="0097036C">
              <w:rPr>
                <w:rFonts w:ascii="Times New Roman" w:hAnsi="Times New Roman" w:cs="Times New Roman"/>
                <w:bCs/>
                <w:sz w:val="18"/>
                <w:szCs w:val="18"/>
                <w:lang w:val="ru-RU" w:eastAsia="en-US"/>
              </w:rPr>
              <w:t>3.2.2</w:t>
            </w: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1258" w:type="dxa"/>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62" w:type="dxa"/>
            <w:tcMar>
              <w:top w:w="0" w:type="dxa"/>
              <w:left w:w="108" w:type="dxa"/>
              <w:bottom w:w="0" w:type="dxa"/>
              <w:right w:w="108" w:type="dxa"/>
            </w:tcMar>
          </w:tcPr>
          <w:p w:rsidR="0043703D" w:rsidRPr="0097036C" w:rsidRDefault="0043703D" w:rsidP="007E7EBF">
            <w:pPr>
              <w:pStyle w:val="15"/>
              <w:contextualSpacing/>
              <w:rPr>
                <w:sz w:val="18"/>
                <w:szCs w:val="18"/>
                <w:lang w:val="uk-UA" w:eastAsia="en-US"/>
              </w:rPr>
            </w:pP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Кредиторська заборгованість за:</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Cs/>
                <w:sz w:val="18"/>
                <w:szCs w:val="18"/>
              </w:rPr>
            </w:pPr>
          </w:p>
        </w:tc>
        <w:tc>
          <w:tcPr>
            <w:tcW w:w="1262" w:type="dxa"/>
            <w:tcMar>
              <w:top w:w="0" w:type="dxa"/>
              <w:left w:w="108" w:type="dxa"/>
              <w:bottom w:w="0" w:type="dxa"/>
              <w:right w:w="108" w:type="dxa"/>
            </w:tcMar>
          </w:tcPr>
          <w:p w:rsidR="0043703D" w:rsidRPr="0097036C" w:rsidRDefault="0043703D" w:rsidP="007E7EBF">
            <w:pPr>
              <w:pStyle w:val="15"/>
              <w:contextualSpacing/>
              <w:rPr>
                <w:b w:val="0"/>
                <w:bCs w:val="0"/>
                <w:sz w:val="18"/>
                <w:szCs w:val="18"/>
                <w:lang w:val="uk-UA" w:eastAsia="en-US"/>
              </w:rPr>
            </w:pP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 xml:space="preserve">    розрахунками з бюджетом</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A13263" w:rsidP="007E7EBF">
            <w:pPr>
              <w:pStyle w:val="Standard"/>
              <w:widowControl w:val="0"/>
              <w:contextualSpacing/>
              <w:jc w:val="center"/>
              <w:rPr>
                <w:rFonts w:ascii="Times New Roman" w:hAnsi="Times New Roman" w:cs="Times New Roman"/>
                <w:bCs/>
                <w:sz w:val="18"/>
                <w:szCs w:val="18"/>
                <w:lang w:val="ru-RU"/>
              </w:rPr>
            </w:pPr>
            <w:r>
              <w:rPr>
                <w:rFonts w:ascii="Times New Roman" w:hAnsi="Times New Roman" w:cs="Times New Roman"/>
                <w:bCs/>
                <w:sz w:val="18"/>
                <w:szCs w:val="18"/>
                <w:lang w:val="ru-RU"/>
              </w:rPr>
              <w:t>11</w:t>
            </w:r>
          </w:p>
        </w:tc>
        <w:tc>
          <w:tcPr>
            <w:tcW w:w="1262" w:type="dxa"/>
            <w:tcMar>
              <w:top w:w="0" w:type="dxa"/>
              <w:left w:w="108" w:type="dxa"/>
              <w:bottom w:w="0" w:type="dxa"/>
              <w:right w:w="108" w:type="dxa"/>
            </w:tcMar>
          </w:tcPr>
          <w:p w:rsidR="0043703D" w:rsidRPr="0097036C" w:rsidRDefault="00BF2F6E" w:rsidP="007E7EBF">
            <w:pPr>
              <w:pStyle w:val="15"/>
              <w:contextualSpacing/>
              <w:rPr>
                <w:b w:val="0"/>
                <w:bCs w:val="0"/>
                <w:sz w:val="18"/>
                <w:szCs w:val="18"/>
                <w:lang w:val="uk-UA" w:eastAsia="en-US"/>
              </w:rPr>
            </w:pPr>
            <w:r>
              <w:rPr>
                <w:b w:val="0"/>
                <w:bCs w:val="0"/>
                <w:sz w:val="18"/>
                <w:szCs w:val="18"/>
                <w:lang w:val="uk-UA" w:eastAsia="en-US"/>
              </w:rPr>
              <w:t>7</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 xml:space="preserve">    розрахунками зі страхування</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A13263" w:rsidP="007E7EBF">
            <w:pPr>
              <w:pStyle w:val="Standard"/>
              <w:widowControl w:val="0"/>
              <w:contextualSpacing/>
              <w:jc w:val="center"/>
              <w:rPr>
                <w:rFonts w:ascii="Times New Roman" w:hAnsi="Times New Roman" w:cs="Times New Roman"/>
                <w:bCs/>
                <w:sz w:val="18"/>
                <w:szCs w:val="18"/>
                <w:lang w:val="ru-RU"/>
              </w:rPr>
            </w:pPr>
            <w:r>
              <w:rPr>
                <w:rFonts w:ascii="Times New Roman" w:hAnsi="Times New Roman" w:cs="Times New Roman"/>
                <w:bCs/>
                <w:sz w:val="18"/>
                <w:szCs w:val="18"/>
                <w:lang w:val="ru-RU"/>
              </w:rPr>
              <w:t>-</w:t>
            </w:r>
          </w:p>
        </w:tc>
        <w:tc>
          <w:tcPr>
            <w:tcW w:w="1262" w:type="dxa"/>
            <w:tcMar>
              <w:top w:w="0" w:type="dxa"/>
              <w:left w:w="108" w:type="dxa"/>
              <w:bottom w:w="0" w:type="dxa"/>
              <w:right w:w="108" w:type="dxa"/>
            </w:tcMar>
          </w:tcPr>
          <w:p w:rsidR="0043703D" w:rsidRPr="0097036C" w:rsidRDefault="00623339" w:rsidP="007E7EBF">
            <w:pPr>
              <w:pStyle w:val="15"/>
              <w:contextualSpacing/>
              <w:rPr>
                <w:b w:val="0"/>
                <w:bCs w:val="0"/>
                <w:sz w:val="18"/>
                <w:szCs w:val="18"/>
                <w:lang w:val="uk-UA" w:eastAsia="en-US"/>
              </w:rPr>
            </w:pPr>
            <w:r w:rsidRPr="0097036C">
              <w:rPr>
                <w:b w:val="0"/>
                <w:bCs w:val="0"/>
                <w:sz w:val="18"/>
                <w:szCs w:val="18"/>
                <w:lang w:val="uk-UA" w:eastAsia="en-US"/>
              </w:rPr>
              <w:t>-</w:t>
            </w:r>
          </w:p>
        </w:tc>
      </w:tr>
      <w:tr w:rsidR="0043703D" w:rsidRPr="0097036C" w:rsidTr="00C91E75">
        <w:trPr>
          <w:trHeight w:val="258"/>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rPr>
            </w:pPr>
            <w:r w:rsidRPr="0097036C">
              <w:rPr>
                <w:rStyle w:val="14"/>
                <w:rFonts w:ascii="Times New Roman" w:hAnsi="Times New Roman" w:cs="Times New Roman"/>
                <w:b/>
                <w:sz w:val="18"/>
                <w:szCs w:val="18"/>
                <w:lang w:eastAsia="en-US"/>
              </w:rPr>
              <w:t>Усього поточних зобов</w:t>
            </w:r>
            <w:r w:rsidRPr="0097036C">
              <w:rPr>
                <w:rStyle w:val="14"/>
                <w:rFonts w:ascii="Times New Roman" w:hAnsi="Times New Roman" w:cs="Times New Roman"/>
                <w:b/>
                <w:sz w:val="18"/>
                <w:szCs w:val="18"/>
                <w:lang w:val="ru-RU" w:eastAsia="en-US"/>
              </w:rPr>
              <w:t>’</w:t>
            </w:r>
            <w:r w:rsidRPr="0097036C">
              <w:rPr>
                <w:rStyle w:val="14"/>
                <w:rFonts w:ascii="Times New Roman" w:hAnsi="Times New Roman" w:cs="Times New Roman"/>
                <w:b/>
                <w:sz w:val="18"/>
                <w:szCs w:val="18"/>
                <w:lang w:eastAsia="en-US"/>
              </w:rPr>
              <w:t>язань та забезпечень</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1258"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980EE8" w:rsidP="007E7EBF">
            <w:pPr>
              <w:pStyle w:val="Standard"/>
              <w:widowControl w:val="0"/>
              <w:contextualSpacing/>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11</w:t>
            </w:r>
          </w:p>
        </w:tc>
        <w:tc>
          <w:tcPr>
            <w:tcW w:w="1262" w:type="dxa"/>
            <w:tcBorders>
              <w:top w:val="single" w:sz="4" w:space="0" w:color="00000A"/>
              <w:bottom w:val="single" w:sz="4" w:space="0" w:color="00000A"/>
            </w:tcBorders>
            <w:tcMar>
              <w:top w:w="0" w:type="dxa"/>
              <w:left w:w="108" w:type="dxa"/>
              <w:bottom w:w="0" w:type="dxa"/>
              <w:right w:w="108" w:type="dxa"/>
            </w:tcMar>
          </w:tcPr>
          <w:p w:rsidR="0043703D" w:rsidRPr="0097036C" w:rsidRDefault="00BF2F6E" w:rsidP="007E7EBF">
            <w:pPr>
              <w:pStyle w:val="15"/>
              <w:contextualSpacing/>
              <w:rPr>
                <w:sz w:val="18"/>
                <w:szCs w:val="18"/>
                <w:lang w:val="uk-UA" w:eastAsia="en-US"/>
              </w:rPr>
            </w:pPr>
            <w:r>
              <w:rPr>
                <w:sz w:val="18"/>
                <w:szCs w:val="18"/>
                <w:lang w:val="uk-UA" w:eastAsia="en-US"/>
              </w:rPr>
              <w:t>7</w:t>
            </w:r>
          </w:p>
        </w:tc>
      </w:tr>
      <w:tr w:rsidR="0043703D" w:rsidRPr="0097036C" w:rsidTr="00C91E75">
        <w:trPr>
          <w:trHeight w:val="286"/>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bCs/>
                <w:sz w:val="18"/>
                <w:szCs w:val="18"/>
                <w:lang w:eastAsia="en-US"/>
              </w:rPr>
            </w:pPr>
            <w:r w:rsidRPr="0097036C">
              <w:rPr>
                <w:rFonts w:ascii="Times New Roman" w:hAnsi="Times New Roman" w:cs="Times New Roman"/>
                <w:b/>
                <w:bCs/>
                <w:sz w:val="18"/>
                <w:szCs w:val="18"/>
                <w:lang w:eastAsia="en-US"/>
              </w:rPr>
              <w:t>Власний капітал</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val="ru-RU" w:eastAsia="en-US"/>
              </w:rPr>
            </w:pPr>
            <w:r w:rsidRPr="0097036C">
              <w:rPr>
                <w:rFonts w:ascii="Times New Roman" w:hAnsi="Times New Roman" w:cs="Times New Roman"/>
                <w:sz w:val="18"/>
                <w:szCs w:val="18"/>
                <w:lang w:val="ru-RU" w:eastAsia="en-US"/>
              </w:rPr>
              <w:t>3.2.1</w:t>
            </w: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62" w:type="dxa"/>
            <w:tcMar>
              <w:top w:w="0" w:type="dxa"/>
              <w:left w:w="108" w:type="dxa"/>
              <w:bottom w:w="0" w:type="dxa"/>
              <w:right w:w="108" w:type="dxa"/>
            </w:tcMar>
          </w:tcPr>
          <w:p w:rsidR="0043703D" w:rsidRPr="0097036C" w:rsidRDefault="0043703D" w:rsidP="007E7EBF">
            <w:pPr>
              <w:pStyle w:val="15"/>
              <w:contextualSpacing/>
              <w:rPr>
                <w:b w:val="0"/>
                <w:sz w:val="18"/>
                <w:szCs w:val="18"/>
                <w:lang w:val="uk-UA" w:eastAsia="en-US"/>
              </w:rPr>
            </w:pPr>
          </w:p>
        </w:tc>
      </w:tr>
      <w:tr w:rsidR="0043703D" w:rsidRPr="0097036C" w:rsidTr="00623339">
        <w:trPr>
          <w:trHeight w:val="286"/>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Зареєстрований (пайовий) капітал</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623339" w:rsidP="007E7EBF">
            <w:pPr>
              <w:pStyle w:val="Standard"/>
              <w:widowControl w:val="0"/>
              <w:contextualSpacing/>
              <w:jc w:val="center"/>
              <w:rPr>
                <w:rFonts w:ascii="Times New Roman" w:hAnsi="Times New Roman" w:cs="Times New Roman"/>
                <w:sz w:val="18"/>
                <w:szCs w:val="18"/>
                <w:lang w:val="ru-RU"/>
              </w:rPr>
            </w:pPr>
            <w:r w:rsidRPr="0097036C">
              <w:rPr>
                <w:rFonts w:ascii="Times New Roman" w:hAnsi="Times New Roman" w:cs="Times New Roman"/>
                <w:sz w:val="18"/>
                <w:szCs w:val="18"/>
                <w:lang w:val="ru-RU"/>
              </w:rPr>
              <w:t>1000</w:t>
            </w:r>
          </w:p>
        </w:tc>
        <w:tc>
          <w:tcPr>
            <w:tcW w:w="1262" w:type="dxa"/>
            <w:tcMar>
              <w:top w:w="0" w:type="dxa"/>
              <w:left w:w="108" w:type="dxa"/>
              <w:bottom w:w="0" w:type="dxa"/>
              <w:right w:w="108" w:type="dxa"/>
            </w:tcMar>
            <w:vAlign w:val="center"/>
          </w:tcPr>
          <w:p w:rsidR="0043703D" w:rsidRPr="0097036C" w:rsidRDefault="00623339" w:rsidP="00623339">
            <w:pPr>
              <w:pStyle w:val="15"/>
              <w:contextualSpacing/>
              <w:rPr>
                <w:b w:val="0"/>
                <w:bCs w:val="0"/>
                <w:sz w:val="18"/>
                <w:szCs w:val="18"/>
                <w:lang w:val="uk-UA" w:eastAsia="en-US"/>
              </w:rPr>
            </w:pPr>
            <w:r w:rsidRPr="0097036C">
              <w:rPr>
                <w:b w:val="0"/>
                <w:bCs w:val="0"/>
                <w:sz w:val="18"/>
                <w:szCs w:val="18"/>
                <w:lang w:val="uk-UA" w:eastAsia="en-US"/>
              </w:rPr>
              <w:t>1000</w:t>
            </w:r>
          </w:p>
        </w:tc>
      </w:tr>
      <w:tr w:rsidR="0043703D" w:rsidRPr="0097036C" w:rsidTr="00623339">
        <w:trPr>
          <w:trHeight w:val="286"/>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Резервний капітал</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Mar>
              <w:top w:w="0" w:type="dxa"/>
              <w:left w:w="108" w:type="dxa"/>
              <w:bottom w:w="0" w:type="dxa"/>
              <w:right w:w="108" w:type="dxa"/>
            </w:tcMar>
            <w:vAlign w:val="center"/>
          </w:tcPr>
          <w:p w:rsidR="0043703D" w:rsidRPr="0097036C" w:rsidRDefault="00623339" w:rsidP="007E7EBF">
            <w:pPr>
              <w:pStyle w:val="Standard"/>
              <w:widowControl w:val="0"/>
              <w:contextualSpacing/>
              <w:jc w:val="center"/>
              <w:rPr>
                <w:rFonts w:ascii="Times New Roman" w:hAnsi="Times New Roman" w:cs="Times New Roman"/>
                <w:sz w:val="18"/>
                <w:szCs w:val="18"/>
                <w:lang w:val="ru-RU"/>
              </w:rPr>
            </w:pPr>
            <w:r w:rsidRPr="0097036C">
              <w:rPr>
                <w:rFonts w:ascii="Times New Roman" w:hAnsi="Times New Roman" w:cs="Times New Roman"/>
                <w:sz w:val="18"/>
                <w:szCs w:val="18"/>
                <w:lang w:val="ru-RU"/>
              </w:rPr>
              <w:t>7</w:t>
            </w:r>
          </w:p>
        </w:tc>
        <w:tc>
          <w:tcPr>
            <w:tcW w:w="1262" w:type="dxa"/>
            <w:tcMar>
              <w:top w:w="0" w:type="dxa"/>
              <w:left w:w="108" w:type="dxa"/>
              <w:bottom w:w="0" w:type="dxa"/>
              <w:right w:w="108" w:type="dxa"/>
            </w:tcMar>
            <w:vAlign w:val="center"/>
          </w:tcPr>
          <w:p w:rsidR="0043703D" w:rsidRPr="0097036C" w:rsidRDefault="00623339" w:rsidP="00623339">
            <w:pPr>
              <w:pStyle w:val="15"/>
              <w:contextualSpacing/>
              <w:rPr>
                <w:b w:val="0"/>
                <w:bCs w:val="0"/>
                <w:sz w:val="18"/>
                <w:szCs w:val="18"/>
                <w:lang w:val="uk-UA" w:eastAsia="en-US"/>
              </w:rPr>
            </w:pPr>
            <w:r w:rsidRPr="0097036C">
              <w:rPr>
                <w:b w:val="0"/>
                <w:bCs w:val="0"/>
                <w:sz w:val="18"/>
                <w:szCs w:val="18"/>
                <w:lang w:val="uk-UA" w:eastAsia="en-US"/>
              </w:rPr>
              <w:t>7</w:t>
            </w:r>
          </w:p>
        </w:tc>
      </w:tr>
      <w:tr w:rsidR="0043703D" w:rsidRPr="0097036C" w:rsidTr="00623339">
        <w:trPr>
          <w:trHeight w:val="286"/>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sz w:val="18"/>
                <w:szCs w:val="18"/>
                <w:lang w:eastAsia="en-US"/>
              </w:rPr>
            </w:pPr>
            <w:r w:rsidRPr="0097036C">
              <w:rPr>
                <w:rFonts w:ascii="Times New Roman" w:hAnsi="Times New Roman" w:cs="Times New Roman"/>
                <w:sz w:val="18"/>
                <w:szCs w:val="18"/>
                <w:lang w:eastAsia="en-US"/>
              </w:rPr>
              <w:t>Нерозподілений прибуток (непокритий збиток)</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sz w:val="18"/>
                <w:szCs w:val="18"/>
                <w:lang w:eastAsia="en-US"/>
              </w:rPr>
            </w:pPr>
          </w:p>
        </w:tc>
        <w:tc>
          <w:tcPr>
            <w:tcW w:w="1258" w:type="dxa"/>
            <w:tcBorders>
              <w:bottom w:val="single" w:sz="4" w:space="0" w:color="00000A"/>
            </w:tcBorders>
            <w:tcMar>
              <w:top w:w="0" w:type="dxa"/>
              <w:left w:w="108" w:type="dxa"/>
              <w:bottom w:w="0" w:type="dxa"/>
              <w:right w:w="108" w:type="dxa"/>
            </w:tcMar>
            <w:vAlign w:val="center"/>
          </w:tcPr>
          <w:p w:rsidR="0043703D" w:rsidRPr="0097036C" w:rsidRDefault="00623339" w:rsidP="00980EE8">
            <w:pPr>
              <w:pStyle w:val="Standard"/>
              <w:widowControl w:val="0"/>
              <w:contextualSpacing/>
              <w:jc w:val="center"/>
              <w:rPr>
                <w:rFonts w:ascii="Times New Roman" w:hAnsi="Times New Roman" w:cs="Times New Roman"/>
                <w:sz w:val="18"/>
                <w:szCs w:val="18"/>
                <w:lang w:val="ru-RU"/>
              </w:rPr>
            </w:pPr>
            <w:r w:rsidRPr="0097036C">
              <w:rPr>
                <w:rFonts w:ascii="Times New Roman" w:hAnsi="Times New Roman" w:cs="Times New Roman"/>
                <w:sz w:val="18"/>
                <w:szCs w:val="18"/>
                <w:lang w:val="ru-RU"/>
              </w:rPr>
              <w:t>7</w:t>
            </w:r>
            <w:r w:rsidR="00980EE8">
              <w:rPr>
                <w:rFonts w:ascii="Times New Roman" w:hAnsi="Times New Roman" w:cs="Times New Roman"/>
                <w:sz w:val="18"/>
                <w:szCs w:val="18"/>
                <w:lang w:val="ru-RU"/>
              </w:rPr>
              <w:t>5</w:t>
            </w:r>
            <w:r w:rsidRPr="0097036C">
              <w:rPr>
                <w:rFonts w:ascii="Times New Roman" w:hAnsi="Times New Roman" w:cs="Times New Roman"/>
                <w:sz w:val="18"/>
                <w:szCs w:val="18"/>
                <w:lang w:val="ru-RU"/>
              </w:rPr>
              <w:t>9</w:t>
            </w:r>
          </w:p>
        </w:tc>
        <w:tc>
          <w:tcPr>
            <w:tcW w:w="1262" w:type="dxa"/>
            <w:tcBorders>
              <w:bottom w:val="single" w:sz="4" w:space="0" w:color="00000A"/>
            </w:tcBorders>
            <w:tcMar>
              <w:top w:w="0" w:type="dxa"/>
              <w:left w:w="108" w:type="dxa"/>
              <w:bottom w:w="0" w:type="dxa"/>
              <w:right w:w="108" w:type="dxa"/>
            </w:tcMar>
            <w:vAlign w:val="center"/>
          </w:tcPr>
          <w:p w:rsidR="0043703D" w:rsidRPr="0097036C" w:rsidRDefault="00623339" w:rsidP="00BF2F6E">
            <w:pPr>
              <w:pStyle w:val="15"/>
              <w:contextualSpacing/>
              <w:rPr>
                <w:b w:val="0"/>
                <w:bCs w:val="0"/>
                <w:sz w:val="18"/>
                <w:szCs w:val="18"/>
                <w:lang w:val="uk-UA" w:eastAsia="en-US"/>
              </w:rPr>
            </w:pPr>
            <w:r w:rsidRPr="0097036C">
              <w:rPr>
                <w:b w:val="0"/>
                <w:bCs w:val="0"/>
                <w:sz w:val="18"/>
                <w:szCs w:val="18"/>
                <w:lang w:val="uk-UA" w:eastAsia="en-US"/>
              </w:rPr>
              <w:t>79</w:t>
            </w:r>
            <w:r w:rsidR="00BF2F6E">
              <w:rPr>
                <w:b w:val="0"/>
                <w:bCs w:val="0"/>
                <w:sz w:val="18"/>
                <w:szCs w:val="18"/>
                <w:lang w:val="uk-UA" w:eastAsia="en-US"/>
              </w:rPr>
              <w:t>0</w:t>
            </w:r>
          </w:p>
        </w:tc>
      </w:tr>
      <w:tr w:rsidR="0043703D" w:rsidRPr="0097036C" w:rsidTr="00C91E75">
        <w:trPr>
          <w:trHeight w:val="286"/>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sz w:val="18"/>
                <w:szCs w:val="18"/>
                <w:lang w:eastAsia="en-US"/>
              </w:rPr>
            </w:pPr>
            <w:r w:rsidRPr="0097036C">
              <w:rPr>
                <w:rFonts w:ascii="Times New Roman" w:hAnsi="Times New Roman" w:cs="Times New Roman"/>
                <w:b/>
                <w:sz w:val="18"/>
                <w:szCs w:val="18"/>
                <w:lang w:eastAsia="en-US"/>
              </w:rPr>
              <w:t>Усього власного капіталу</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Cs/>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bCs/>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Cs/>
                <w:sz w:val="18"/>
                <w:szCs w:val="18"/>
                <w:lang w:eastAsia="en-US"/>
              </w:rPr>
            </w:pPr>
          </w:p>
        </w:tc>
        <w:tc>
          <w:tcPr>
            <w:tcW w:w="1258"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23339" w:rsidP="00980EE8">
            <w:pPr>
              <w:pStyle w:val="Standard"/>
              <w:widowControl w:val="0"/>
              <w:contextualSpacing/>
              <w:jc w:val="center"/>
              <w:rPr>
                <w:rFonts w:ascii="Times New Roman" w:hAnsi="Times New Roman" w:cs="Times New Roman"/>
                <w:b/>
                <w:sz w:val="18"/>
                <w:szCs w:val="18"/>
                <w:lang w:val="ru-RU"/>
              </w:rPr>
            </w:pPr>
            <w:r w:rsidRPr="0097036C">
              <w:rPr>
                <w:rFonts w:ascii="Times New Roman" w:hAnsi="Times New Roman" w:cs="Times New Roman"/>
                <w:b/>
                <w:sz w:val="18"/>
                <w:szCs w:val="18"/>
                <w:lang w:val="ru-RU"/>
              </w:rPr>
              <w:t>17</w:t>
            </w:r>
            <w:r w:rsidR="00980EE8">
              <w:rPr>
                <w:rFonts w:ascii="Times New Roman" w:hAnsi="Times New Roman" w:cs="Times New Roman"/>
                <w:b/>
                <w:sz w:val="18"/>
                <w:szCs w:val="18"/>
                <w:lang w:val="ru-RU"/>
              </w:rPr>
              <w:t>6</w:t>
            </w:r>
            <w:r w:rsidRPr="0097036C">
              <w:rPr>
                <w:rFonts w:ascii="Times New Roman" w:hAnsi="Times New Roman" w:cs="Times New Roman"/>
                <w:b/>
                <w:sz w:val="18"/>
                <w:szCs w:val="18"/>
                <w:lang w:val="ru-RU"/>
              </w:rPr>
              <w:t>6</w:t>
            </w:r>
          </w:p>
        </w:tc>
        <w:tc>
          <w:tcPr>
            <w:tcW w:w="1262" w:type="dxa"/>
            <w:tcBorders>
              <w:top w:val="single" w:sz="4" w:space="0" w:color="00000A"/>
              <w:bottom w:val="single" w:sz="4" w:space="0" w:color="00000A"/>
            </w:tcBorders>
            <w:tcMar>
              <w:top w:w="0" w:type="dxa"/>
              <w:left w:w="108" w:type="dxa"/>
              <w:bottom w:w="0" w:type="dxa"/>
              <w:right w:w="108" w:type="dxa"/>
            </w:tcMar>
          </w:tcPr>
          <w:p w:rsidR="0043703D" w:rsidRPr="0097036C" w:rsidRDefault="00623339" w:rsidP="00BF2F6E">
            <w:pPr>
              <w:pStyle w:val="15"/>
              <w:contextualSpacing/>
              <w:rPr>
                <w:sz w:val="18"/>
                <w:szCs w:val="18"/>
                <w:lang w:val="uk-UA" w:eastAsia="en-US"/>
              </w:rPr>
            </w:pPr>
            <w:r w:rsidRPr="0097036C">
              <w:rPr>
                <w:sz w:val="18"/>
                <w:szCs w:val="18"/>
                <w:lang w:val="uk-UA" w:eastAsia="en-US"/>
              </w:rPr>
              <w:t>17</w:t>
            </w:r>
            <w:r w:rsidR="00BF2F6E">
              <w:rPr>
                <w:sz w:val="18"/>
                <w:szCs w:val="18"/>
                <w:lang w:val="uk-UA" w:eastAsia="en-US"/>
              </w:rPr>
              <w:t>97</w:t>
            </w:r>
          </w:p>
        </w:tc>
      </w:tr>
      <w:tr w:rsidR="0043703D" w:rsidRPr="0097036C" w:rsidTr="00C91E75">
        <w:trPr>
          <w:trHeight w:val="287"/>
        </w:trPr>
        <w:tc>
          <w:tcPr>
            <w:tcW w:w="4193" w:type="dxa"/>
            <w:tcMar>
              <w:top w:w="0" w:type="dxa"/>
              <w:left w:w="108" w:type="dxa"/>
              <w:bottom w:w="0" w:type="dxa"/>
              <w:right w:w="108" w:type="dxa"/>
            </w:tcMar>
            <w:vAlign w:val="center"/>
          </w:tcPr>
          <w:p w:rsidR="0043703D" w:rsidRPr="0097036C" w:rsidRDefault="0043703D" w:rsidP="007E7EBF">
            <w:pPr>
              <w:pStyle w:val="Standard"/>
              <w:contextualSpacing/>
              <w:rPr>
                <w:rFonts w:ascii="Times New Roman" w:hAnsi="Times New Roman" w:cs="Times New Roman"/>
                <w:b/>
                <w:i/>
                <w:sz w:val="18"/>
                <w:szCs w:val="18"/>
                <w:lang w:eastAsia="en-US"/>
              </w:rPr>
            </w:pPr>
            <w:r w:rsidRPr="0097036C">
              <w:rPr>
                <w:rFonts w:ascii="Times New Roman" w:hAnsi="Times New Roman" w:cs="Times New Roman"/>
                <w:b/>
                <w:i/>
                <w:sz w:val="18"/>
                <w:szCs w:val="18"/>
                <w:lang w:eastAsia="en-US"/>
              </w:rPr>
              <w:t>Баланс</w:t>
            </w:r>
          </w:p>
        </w:tc>
        <w:tc>
          <w:tcPr>
            <w:tcW w:w="242"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886"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236" w:type="dxa"/>
            <w:tcBorders>
              <w:lef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contextualSpacing/>
              <w:jc w:val="center"/>
              <w:rPr>
                <w:rFonts w:ascii="Times New Roman" w:hAnsi="Times New Roman" w:cs="Times New Roman"/>
                <w:b/>
                <w:bCs/>
                <w:sz w:val="18"/>
                <w:szCs w:val="18"/>
                <w:lang w:eastAsia="en-US"/>
              </w:rPr>
            </w:pPr>
          </w:p>
        </w:tc>
        <w:tc>
          <w:tcPr>
            <w:tcW w:w="1258"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23339" w:rsidP="00980EE8">
            <w:pPr>
              <w:pStyle w:val="Standard"/>
              <w:contextualSpacing/>
              <w:jc w:val="center"/>
              <w:rPr>
                <w:rFonts w:ascii="Times New Roman" w:hAnsi="Times New Roman" w:cs="Times New Roman"/>
                <w:b/>
                <w:sz w:val="18"/>
                <w:szCs w:val="18"/>
                <w:lang w:val="ru-RU"/>
              </w:rPr>
            </w:pPr>
            <w:r w:rsidRPr="0097036C">
              <w:rPr>
                <w:rFonts w:ascii="Times New Roman" w:hAnsi="Times New Roman" w:cs="Times New Roman"/>
                <w:b/>
                <w:sz w:val="18"/>
                <w:szCs w:val="18"/>
                <w:lang w:val="ru-RU"/>
              </w:rPr>
              <w:t>17</w:t>
            </w:r>
            <w:r w:rsidR="00980EE8">
              <w:rPr>
                <w:rFonts w:ascii="Times New Roman" w:hAnsi="Times New Roman" w:cs="Times New Roman"/>
                <w:b/>
                <w:sz w:val="18"/>
                <w:szCs w:val="18"/>
                <w:lang w:val="ru-RU"/>
              </w:rPr>
              <w:t>77</w:t>
            </w:r>
          </w:p>
        </w:tc>
        <w:tc>
          <w:tcPr>
            <w:tcW w:w="1262" w:type="dxa"/>
            <w:tcBorders>
              <w:top w:val="single" w:sz="4" w:space="0" w:color="00000A"/>
              <w:bottom w:val="single" w:sz="4" w:space="0" w:color="00000A"/>
            </w:tcBorders>
            <w:tcMar>
              <w:top w:w="0" w:type="dxa"/>
              <w:left w:w="108" w:type="dxa"/>
              <w:bottom w:w="0" w:type="dxa"/>
              <w:right w:w="108" w:type="dxa"/>
            </w:tcMar>
          </w:tcPr>
          <w:p w:rsidR="0043703D" w:rsidRPr="0097036C" w:rsidRDefault="00623339" w:rsidP="00BF2F6E">
            <w:pPr>
              <w:pStyle w:val="15"/>
              <w:contextualSpacing/>
              <w:rPr>
                <w:sz w:val="18"/>
                <w:szCs w:val="18"/>
              </w:rPr>
            </w:pPr>
            <w:r w:rsidRPr="0097036C">
              <w:rPr>
                <w:sz w:val="18"/>
                <w:szCs w:val="18"/>
              </w:rPr>
              <w:t>1</w:t>
            </w:r>
            <w:r w:rsidR="00BF2F6E">
              <w:rPr>
                <w:sz w:val="18"/>
                <w:szCs w:val="18"/>
              </w:rPr>
              <w:t>804</w:t>
            </w:r>
          </w:p>
        </w:tc>
      </w:tr>
    </w:tbl>
    <w:p w:rsidR="0043703D" w:rsidRPr="0097036C" w:rsidRDefault="0043703D" w:rsidP="0043703D">
      <w:pPr>
        <w:pStyle w:val="Standard"/>
        <w:rPr>
          <w:rFonts w:ascii="Times New Roman" w:hAnsi="Times New Roman" w:cs="Times New Roman"/>
          <w:sz w:val="20"/>
          <w:szCs w:val="20"/>
          <w:lang w:val="ru-RU"/>
        </w:rPr>
      </w:pPr>
      <w:bookmarkStart w:id="0" w:name="_Toc327360008"/>
    </w:p>
    <w:p w:rsidR="0043703D" w:rsidRPr="0097036C" w:rsidRDefault="0043703D" w:rsidP="0043703D">
      <w:pPr>
        <w:pStyle w:val="Standard"/>
        <w:rPr>
          <w:rFonts w:ascii="Times New Roman" w:hAnsi="Times New Roman" w:cs="Times New Roman"/>
          <w:sz w:val="20"/>
          <w:szCs w:val="20"/>
          <w:lang w:val="ru-RU"/>
        </w:rPr>
      </w:pPr>
    </w:p>
    <w:p w:rsidR="0043703D" w:rsidRDefault="0043703D" w:rsidP="0043703D">
      <w:pPr>
        <w:pStyle w:val="Standard"/>
        <w:rPr>
          <w:rFonts w:ascii="Times New Roman" w:hAnsi="Times New Roman" w:cs="Times New Roman"/>
          <w:sz w:val="20"/>
          <w:szCs w:val="20"/>
          <w:lang w:val="ru-RU"/>
        </w:rPr>
      </w:pPr>
    </w:p>
    <w:p w:rsidR="00B80387" w:rsidRDefault="00B80387" w:rsidP="0043703D">
      <w:pPr>
        <w:pStyle w:val="Standard"/>
        <w:rPr>
          <w:rFonts w:ascii="Times New Roman" w:hAnsi="Times New Roman" w:cs="Times New Roman"/>
          <w:sz w:val="20"/>
          <w:szCs w:val="20"/>
          <w:lang w:val="ru-RU"/>
        </w:rPr>
      </w:pPr>
    </w:p>
    <w:p w:rsidR="00B80387" w:rsidRDefault="00B80387" w:rsidP="0043703D">
      <w:pPr>
        <w:pStyle w:val="Standard"/>
        <w:rPr>
          <w:rFonts w:ascii="Times New Roman" w:hAnsi="Times New Roman" w:cs="Times New Roman"/>
          <w:sz w:val="20"/>
          <w:szCs w:val="20"/>
          <w:lang w:val="ru-RU"/>
        </w:rPr>
      </w:pPr>
    </w:p>
    <w:p w:rsidR="00B80387" w:rsidRPr="0097036C" w:rsidRDefault="00B80387" w:rsidP="0043703D">
      <w:pPr>
        <w:pStyle w:val="Standard"/>
        <w:rPr>
          <w:rFonts w:ascii="Times New Roman" w:hAnsi="Times New Roman" w:cs="Times New Roman"/>
          <w:sz w:val="20"/>
          <w:szCs w:val="20"/>
          <w:lang w:val="ru-RU"/>
        </w:rPr>
      </w:pPr>
    </w:p>
    <w:p w:rsidR="0043703D" w:rsidRPr="0097036C" w:rsidRDefault="0043703D" w:rsidP="0043703D">
      <w:pPr>
        <w:pStyle w:val="11"/>
        <w:jc w:val="center"/>
        <w:outlineLvl w:val="9"/>
      </w:pPr>
      <w:r w:rsidRPr="0097036C">
        <w:rPr>
          <w:rStyle w:val="14"/>
          <w:rFonts w:ascii="Times New Roman" w:hAnsi="Times New Roman" w:cs="Times New Roman"/>
          <w:color w:val="auto"/>
        </w:rPr>
        <w:t xml:space="preserve">Звіт </w:t>
      </w:r>
      <w:bookmarkEnd w:id="0"/>
      <w:r w:rsidRPr="0097036C">
        <w:rPr>
          <w:rStyle w:val="14"/>
          <w:rFonts w:ascii="Times New Roman" w:hAnsi="Times New Roman" w:cs="Times New Roman"/>
          <w:color w:val="auto"/>
        </w:rPr>
        <w:t>про фінансові результати (Звіт про сукупний дохід)</w:t>
      </w:r>
    </w:p>
    <w:p w:rsidR="0043703D" w:rsidRPr="0097036C" w:rsidRDefault="0043703D" w:rsidP="0043703D">
      <w:pPr>
        <w:pStyle w:val="Standard"/>
      </w:pPr>
      <w:r w:rsidRPr="0097036C">
        <w:rPr>
          <w:rStyle w:val="14"/>
          <w:rFonts w:ascii="Times New Roman" w:hAnsi="Times New Roman" w:cs="Times New Roman"/>
          <w:sz w:val="20"/>
          <w:szCs w:val="20"/>
        </w:rPr>
        <w:t>за рік, що закінчився 31 грудня 201</w:t>
      </w:r>
      <w:r w:rsidR="00980EE8">
        <w:rPr>
          <w:rStyle w:val="14"/>
          <w:rFonts w:ascii="Times New Roman" w:hAnsi="Times New Roman" w:cs="Times New Roman"/>
          <w:sz w:val="20"/>
          <w:szCs w:val="20"/>
          <w:lang w:val="ru-RU"/>
        </w:rPr>
        <w:t>9</w:t>
      </w:r>
      <w:r w:rsidRPr="0097036C">
        <w:rPr>
          <w:rStyle w:val="14"/>
          <w:rFonts w:ascii="Times New Roman" w:hAnsi="Times New Roman" w:cs="Times New Roman"/>
          <w:sz w:val="20"/>
          <w:szCs w:val="20"/>
          <w:lang w:val="ru-RU"/>
        </w:rPr>
        <w:t xml:space="preserve"> </w:t>
      </w:r>
      <w:r w:rsidRPr="0097036C">
        <w:rPr>
          <w:rStyle w:val="14"/>
          <w:rFonts w:ascii="Times New Roman" w:hAnsi="Times New Roman" w:cs="Times New Roman"/>
          <w:sz w:val="20"/>
          <w:szCs w:val="20"/>
        </w:rPr>
        <w:t>року</w:t>
      </w:r>
    </w:p>
    <w:p w:rsidR="0043703D" w:rsidRPr="0097036C" w:rsidRDefault="0043703D" w:rsidP="0043703D">
      <w:pPr>
        <w:pStyle w:val="Standard"/>
        <w:rPr>
          <w:rFonts w:ascii="Times New Roman" w:hAnsi="Times New Roman" w:cs="Times New Roman"/>
          <w:sz w:val="20"/>
          <w:szCs w:val="20"/>
        </w:rPr>
      </w:pPr>
      <w:r w:rsidRPr="0097036C">
        <w:rPr>
          <w:rFonts w:ascii="Times New Roman" w:hAnsi="Times New Roman" w:cs="Times New Roman"/>
          <w:sz w:val="20"/>
          <w:szCs w:val="20"/>
        </w:rPr>
        <w:t>(в тис. гривень)</w:t>
      </w:r>
    </w:p>
    <w:tbl>
      <w:tblPr>
        <w:tblW w:w="9360" w:type="dxa"/>
        <w:tblInd w:w="109" w:type="dxa"/>
        <w:tblLayout w:type="fixed"/>
        <w:tblLook w:val="04A0"/>
      </w:tblPr>
      <w:tblGrid>
        <w:gridCol w:w="4838"/>
        <w:gridCol w:w="407"/>
        <w:gridCol w:w="1094"/>
        <w:gridCol w:w="183"/>
        <w:gridCol w:w="1417"/>
        <w:gridCol w:w="1421"/>
      </w:tblGrid>
      <w:tr w:rsidR="0043703D" w:rsidRPr="0097036C" w:rsidTr="007E7EBF">
        <w:trPr>
          <w:trHeight w:val="276"/>
        </w:trPr>
        <w:tc>
          <w:tcPr>
            <w:tcW w:w="5245" w:type="dxa"/>
            <w:gridSpan w:val="2"/>
            <w:tcBorders>
              <w:bottom w:val="single" w:sz="4" w:space="0" w:color="00000A"/>
            </w:tcBorders>
            <w:tcMar>
              <w:top w:w="0" w:type="dxa"/>
              <w:left w:w="108" w:type="dxa"/>
              <w:bottom w:w="0" w:type="dxa"/>
              <w:right w:w="108" w:type="dxa"/>
            </w:tcMar>
            <w:vAlign w:val="center"/>
          </w:tcPr>
          <w:p w:rsidR="0043703D" w:rsidRPr="0097036C" w:rsidRDefault="0043703D" w:rsidP="007E7EBF">
            <w:pPr>
              <w:pStyle w:val="15"/>
              <w:rPr>
                <w:sz w:val="20"/>
                <w:szCs w:val="20"/>
                <w:lang w:val="uk-UA" w:eastAsia="en-US"/>
              </w:rPr>
            </w:pPr>
            <w:r w:rsidRPr="0097036C">
              <w:rPr>
                <w:sz w:val="20"/>
                <w:szCs w:val="20"/>
                <w:lang w:val="uk-UA" w:eastAsia="en-US"/>
              </w:rPr>
              <w:t> </w:t>
            </w:r>
          </w:p>
        </w:tc>
        <w:tc>
          <w:tcPr>
            <w:tcW w:w="1277" w:type="dxa"/>
            <w:gridSpan w:val="2"/>
            <w:tcBorders>
              <w:bottom w:val="single" w:sz="4" w:space="0" w:color="00000A"/>
            </w:tcBorders>
            <w:tcMar>
              <w:top w:w="0" w:type="dxa"/>
              <w:left w:w="108" w:type="dxa"/>
              <w:bottom w:w="0" w:type="dxa"/>
              <w:right w:w="108" w:type="dxa"/>
            </w:tcMar>
            <w:vAlign w:val="center"/>
          </w:tcPr>
          <w:p w:rsidR="0043703D" w:rsidRPr="0097036C" w:rsidRDefault="0043703D" w:rsidP="007E7EBF">
            <w:pPr>
              <w:pStyle w:val="15"/>
              <w:rPr>
                <w:sz w:val="20"/>
                <w:szCs w:val="20"/>
                <w:lang w:val="uk-UA" w:eastAsia="en-US"/>
              </w:rPr>
            </w:pPr>
            <w:r w:rsidRPr="0097036C">
              <w:rPr>
                <w:sz w:val="20"/>
                <w:szCs w:val="20"/>
                <w:lang w:val="uk-UA" w:eastAsia="en-US"/>
              </w:rPr>
              <w:t>№ Примітки</w:t>
            </w:r>
          </w:p>
        </w:tc>
        <w:tc>
          <w:tcPr>
            <w:tcW w:w="1417" w:type="dxa"/>
            <w:tcBorders>
              <w:bottom w:val="single" w:sz="4" w:space="0" w:color="00000A"/>
            </w:tcBorders>
            <w:tcMar>
              <w:top w:w="0" w:type="dxa"/>
              <w:left w:w="108" w:type="dxa"/>
              <w:bottom w:w="0" w:type="dxa"/>
              <w:right w:w="108" w:type="dxa"/>
            </w:tcMar>
            <w:vAlign w:val="center"/>
          </w:tcPr>
          <w:p w:rsidR="0043703D" w:rsidRPr="0097036C" w:rsidRDefault="0043703D" w:rsidP="00BF2F6E">
            <w:pPr>
              <w:pStyle w:val="15"/>
              <w:rPr>
                <w:sz w:val="20"/>
                <w:szCs w:val="20"/>
                <w:lang w:val="uk-UA" w:eastAsia="en-US"/>
              </w:rPr>
            </w:pPr>
            <w:r w:rsidRPr="0097036C">
              <w:rPr>
                <w:sz w:val="20"/>
                <w:szCs w:val="20"/>
                <w:lang w:val="uk-UA" w:eastAsia="en-US"/>
              </w:rPr>
              <w:t>201</w:t>
            </w:r>
            <w:r w:rsidR="00BF2F6E">
              <w:rPr>
                <w:sz w:val="20"/>
                <w:szCs w:val="20"/>
                <w:lang w:val="uk-UA" w:eastAsia="en-US"/>
              </w:rPr>
              <w:t>9</w:t>
            </w:r>
            <w:r w:rsidRPr="0097036C">
              <w:rPr>
                <w:sz w:val="20"/>
                <w:szCs w:val="20"/>
                <w:lang w:val="uk-UA" w:eastAsia="en-US"/>
              </w:rPr>
              <w:t xml:space="preserve"> рік</w:t>
            </w:r>
          </w:p>
        </w:tc>
        <w:tc>
          <w:tcPr>
            <w:tcW w:w="1421" w:type="dxa"/>
            <w:tcBorders>
              <w:bottom w:val="single" w:sz="4" w:space="0" w:color="00000A"/>
            </w:tcBorders>
            <w:tcMar>
              <w:top w:w="0" w:type="dxa"/>
              <w:left w:w="108" w:type="dxa"/>
              <w:bottom w:w="0" w:type="dxa"/>
              <w:right w:w="108" w:type="dxa"/>
            </w:tcMar>
          </w:tcPr>
          <w:p w:rsidR="0043703D" w:rsidRPr="0097036C" w:rsidRDefault="0043703D" w:rsidP="00BF2F6E">
            <w:pPr>
              <w:pStyle w:val="15"/>
              <w:rPr>
                <w:sz w:val="20"/>
                <w:szCs w:val="20"/>
                <w:lang w:val="uk-UA" w:eastAsia="en-US"/>
              </w:rPr>
            </w:pPr>
            <w:r w:rsidRPr="0097036C">
              <w:rPr>
                <w:sz w:val="20"/>
                <w:szCs w:val="20"/>
                <w:lang w:val="uk-UA" w:eastAsia="en-US"/>
              </w:rPr>
              <w:t>201</w:t>
            </w:r>
            <w:r w:rsidR="00BF2F6E">
              <w:rPr>
                <w:sz w:val="20"/>
                <w:szCs w:val="20"/>
                <w:lang w:val="uk-UA" w:eastAsia="en-US"/>
              </w:rPr>
              <w:t>8</w:t>
            </w:r>
            <w:r w:rsidRPr="0097036C">
              <w:rPr>
                <w:sz w:val="20"/>
                <w:szCs w:val="20"/>
                <w:lang w:val="uk-UA" w:eastAsia="en-US"/>
              </w:rPr>
              <w:t xml:space="preserve"> рік</w:t>
            </w:r>
          </w:p>
        </w:tc>
      </w:tr>
      <w:tr w:rsidR="0043703D" w:rsidRPr="0097036C" w:rsidTr="007E7EBF">
        <w:trPr>
          <w:trHeight w:val="137"/>
        </w:trPr>
        <w:tc>
          <w:tcPr>
            <w:tcW w:w="4838" w:type="dxa"/>
            <w:tcBorders>
              <w:top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sz w:val="20"/>
                <w:szCs w:val="20"/>
                <w:lang w:eastAsia="en-US"/>
              </w:rPr>
            </w:pPr>
          </w:p>
        </w:tc>
        <w:tc>
          <w:tcPr>
            <w:tcW w:w="407" w:type="dxa"/>
            <w:tcBorders>
              <w:top w:val="single" w:sz="4" w:space="0" w:color="00000A"/>
              <w:left w:val="single" w:sz="4" w:space="0" w:color="000000"/>
            </w:tcBorders>
            <w:tcMar>
              <w:top w:w="0" w:type="dxa"/>
              <w:left w:w="10" w:type="dxa"/>
              <w:bottom w:w="0" w:type="dxa"/>
              <w:right w:w="10" w:type="dxa"/>
            </w:tcMar>
            <w:vAlign w:val="center"/>
          </w:tcPr>
          <w:p w:rsidR="0043703D" w:rsidRPr="0097036C" w:rsidRDefault="0043703D" w:rsidP="007E7EBF">
            <w:pPr>
              <w:pStyle w:val="Standard"/>
              <w:rPr>
                <w:rFonts w:ascii="Times New Roman" w:hAnsi="Times New Roman" w:cs="Times New Roman"/>
                <w:sz w:val="20"/>
                <w:szCs w:val="20"/>
                <w:lang w:eastAsia="en-US"/>
              </w:rPr>
            </w:pPr>
          </w:p>
        </w:tc>
        <w:tc>
          <w:tcPr>
            <w:tcW w:w="1094" w:type="dxa"/>
            <w:tcBorders>
              <w:top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83" w:type="dxa"/>
            <w:tcBorders>
              <w:top w:val="single" w:sz="4" w:space="0" w:color="00000A"/>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417" w:type="dxa"/>
            <w:tcBorders>
              <w:top w:val="single" w:sz="4" w:space="0" w:color="00000A"/>
            </w:tcBorders>
            <w:tcMar>
              <w:top w:w="0" w:type="dxa"/>
              <w:left w:w="108" w:type="dxa"/>
              <w:bottom w:w="0" w:type="dxa"/>
              <w:right w:w="108" w:type="dxa"/>
            </w:tcMar>
          </w:tcPr>
          <w:p w:rsidR="0043703D" w:rsidRPr="0097036C" w:rsidRDefault="0043703D" w:rsidP="007E7EBF">
            <w:pPr>
              <w:pStyle w:val="Standard"/>
              <w:rPr>
                <w:rFonts w:ascii="Times New Roman" w:hAnsi="Times New Roman" w:cs="Times New Roman"/>
                <w:sz w:val="20"/>
                <w:szCs w:val="20"/>
                <w:lang w:eastAsia="en-US"/>
              </w:rPr>
            </w:pPr>
          </w:p>
        </w:tc>
        <w:tc>
          <w:tcPr>
            <w:tcW w:w="1421" w:type="dxa"/>
            <w:tcBorders>
              <w:top w:val="single" w:sz="4" w:space="0" w:color="00000A"/>
            </w:tcBorders>
            <w:tcMar>
              <w:top w:w="0" w:type="dxa"/>
              <w:left w:w="108" w:type="dxa"/>
              <w:bottom w:w="0" w:type="dxa"/>
              <w:right w:w="108" w:type="dxa"/>
            </w:tcMar>
          </w:tcPr>
          <w:p w:rsidR="0043703D" w:rsidRPr="0097036C" w:rsidRDefault="0043703D" w:rsidP="007E7EBF">
            <w:pPr>
              <w:pStyle w:val="15"/>
              <w:rPr>
                <w:sz w:val="20"/>
                <w:szCs w:val="20"/>
                <w:lang w:val="uk-UA" w:eastAsia="en-US"/>
              </w:rPr>
            </w:pPr>
          </w:p>
        </w:tc>
      </w:tr>
      <w:tr w:rsidR="0043703D" w:rsidRPr="0097036C" w:rsidTr="00623339">
        <w:trPr>
          <w:trHeight w:val="277"/>
        </w:trPr>
        <w:tc>
          <w:tcPr>
            <w:tcW w:w="4838"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sz w:val="20"/>
                <w:szCs w:val="20"/>
                <w:lang w:eastAsia="en-US"/>
              </w:rPr>
            </w:pPr>
            <w:r w:rsidRPr="0097036C">
              <w:rPr>
                <w:rFonts w:ascii="Times New Roman" w:hAnsi="Times New Roman" w:cs="Times New Roman"/>
                <w:sz w:val="20"/>
                <w:szCs w:val="20"/>
                <w:lang w:eastAsia="en-US"/>
              </w:rPr>
              <w:t>Чистий дохід від реалізації продукції (товарів, робіт, послуг)</w:t>
            </w:r>
          </w:p>
        </w:tc>
        <w:tc>
          <w:tcPr>
            <w:tcW w:w="407"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13"/>
              <w:rPr>
                <w:rFonts w:ascii="Times New Roman" w:eastAsia="Courier New" w:hAnsi="Times New Roman" w:cs="Times New Roman"/>
                <w:color w:val="000000"/>
                <w:sz w:val="20"/>
                <w:szCs w:val="20"/>
                <w:lang w:val="uk-UA"/>
              </w:rPr>
            </w:pPr>
          </w:p>
          <w:p w:rsidR="0043703D" w:rsidRPr="0097036C" w:rsidRDefault="0043703D" w:rsidP="007E7EBF">
            <w:pPr>
              <w:pStyle w:val="Standard"/>
              <w:rPr>
                <w:rFonts w:ascii="Times New Roman" w:hAnsi="Times New Roman" w:cs="Times New Roman"/>
                <w:sz w:val="20"/>
                <w:szCs w:val="20"/>
                <w:lang w:eastAsia="en-US"/>
              </w:rPr>
            </w:pPr>
          </w:p>
        </w:tc>
        <w:tc>
          <w:tcPr>
            <w:tcW w:w="1094"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val="ru-RU" w:eastAsia="en-US"/>
              </w:rPr>
            </w:pPr>
            <w:r w:rsidRPr="0097036C">
              <w:rPr>
                <w:rFonts w:ascii="Times New Roman" w:hAnsi="Times New Roman" w:cs="Times New Roman"/>
                <w:sz w:val="20"/>
                <w:szCs w:val="20"/>
                <w:lang w:val="ru-RU" w:eastAsia="en-US"/>
              </w:rPr>
              <w:t>3.3.1</w:t>
            </w:r>
          </w:p>
        </w:tc>
        <w:tc>
          <w:tcPr>
            <w:tcW w:w="183"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417" w:type="dxa"/>
            <w:tcMar>
              <w:top w:w="0" w:type="dxa"/>
              <w:left w:w="108" w:type="dxa"/>
              <w:bottom w:w="0" w:type="dxa"/>
              <w:right w:w="108" w:type="dxa"/>
            </w:tcMar>
            <w:vAlign w:val="center"/>
          </w:tcPr>
          <w:p w:rsidR="0043703D" w:rsidRPr="0097036C" w:rsidRDefault="00623339" w:rsidP="00664B3F">
            <w:pPr>
              <w:pStyle w:val="Standard"/>
              <w:widowControl w:val="0"/>
              <w:jc w:val="center"/>
              <w:rPr>
                <w:rFonts w:ascii="Times New Roman" w:hAnsi="Times New Roman" w:cs="Times New Roman"/>
                <w:sz w:val="20"/>
                <w:szCs w:val="20"/>
                <w:lang w:val="ru-RU"/>
              </w:rPr>
            </w:pPr>
            <w:r w:rsidRPr="0097036C">
              <w:rPr>
                <w:rFonts w:ascii="Times New Roman" w:hAnsi="Times New Roman" w:cs="Times New Roman"/>
                <w:sz w:val="20"/>
                <w:szCs w:val="20"/>
                <w:lang w:val="ru-RU"/>
              </w:rPr>
              <w:t>24</w:t>
            </w:r>
            <w:r w:rsidR="00664B3F">
              <w:rPr>
                <w:rFonts w:ascii="Times New Roman" w:hAnsi="Times New Roman" w:cs="Times New Roman"/>
                <w:sz w:val="20"/>
                <w:szCs w:val="20"/>
                <w:lang w:val="ru-RU"/>
              </w:rPr>
              <w:t>63</w:t>
            </w:r>
          </w:p>
        </w:tc>
        <w:tc>
          <w:tcPr>
            <w:tcW w:w="1421" w:type="dxa"/>
            <w:tcMar>
              <w:top w:w="0" w:type="dxa"/>
              <w:left w:w="108" w:type="dxa"/>
              <w:bottom w:w="0" w:type="dxa"/>
              <w:right w:w="108" w:type="dxa"/>
            </w:tcMar>
            <w:vAlign w:val="center"/>
          </w:tcPr>
          <w:p w:rsidR="0043703D" w:rsidRPr="0097036C" w:rsidRDefault="00BF2F6E" w:rsidP="00623339">
            <w:pPr>
              <w:pStyle w:val="15"/>
              <w:rPr>
                <w:b w:val="0"/>
                <w:bCs w:val="0"/>
                <w:sz w:val="20"/>
                <w:szCs w:val="20"/>
                <w:lang w:val="uk-UA" w:eastAsia="en-US"/>
              </w:rPr>
            </w:pPr>
            <w:r>
              <w:rPr>
                <w:b w:val="0"/>
                <w:bCs w:val="0"/>
                <w:sz w:val="20"/>
                <w:szCs w:val="20"/>
                <w:lang w:val="uk-UA" w:eastAsia="en-US"/>
              </w:rPr>
              <w:t>2478</w:t>
            </w:r>
          </w:p>
        </w:tc>
      </w:tr>
      <w:tr w:rsidR="0043703D" w:rsidRPr="0097036C" w:rsidTr="007E7EBF">
        <w:trPr>
          <w:trHeight w:val="277"/>
        </w:trPr>
        <w:tc>
          <w:tcPr>
            <w:tcW w:w="4838"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sz w:val="20"/>
                <w:szCs w:val="20"/>
                <w:lang w:eastAsia="en-US"/>
              </w:rPr>
            </w:pPr>
          </w:p>
        </w:tc>
        <w:tc>
          <w:tcPr>
            <w:tcW w:w="407"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rPr>
                <w:rFonts w:ascii="Times New Roman" w:hAnsi="Times New Roman" w:cs="Times New Roman"/>
                <w:sz w:val="20"/>
                <w:szCs w:val="20"/>
                <w:lang w:eastAsia="en-US"/>
              </w:rPr>
            </w:pPr>
          </w:p>
        </w:tc>
        <w:tc>
          <w:tcPr>
            <w:tcW w:w="1094"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83"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417" w:type="dxa"/>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rPr>
            </w:pPr>
          </w:p>
        </w:tc>
        <w:tc>
          <w:tcPr>
            <w:tcW w:w="1421" w:type="dxa"/>
            <w:tcMar>
              <w:top w:w="0" w:type="dxa"/>
              <w:left w:w="108" w:type="dxa"/>
              <w:bottom w:w="0" w:type="dxa"/>
              <w:right w:w="108" w:type="dxa"/>
            </w:tcMar>
          </w:tcPr>
          <w:p w:rsidR="0043703D" w:rsidRPr="0097036C" w:rsidRDefault="0043703D" w:rsidP="007E7EBF">
            <w:pPr>
              <w:pStyle w:val="15"/>
              <w:rPr>
                <w:b w:val="0"/>
                <w:bCs w:val="0"/>
                <w:sz w:val="20"/>
                <w:szCs w:val="20"/>
                <w:lang w:val="uk-UA" w:eastAsia="en-US"/>
              </w:rPr>
            </w:pPr>
          </w:p>
        </w:tc>
      </w:tr>
      <w:tr w:rsidR="0043703D" w:rsidRPr="0097036C" w:rsidTr="007E7EBF">
        <w:trPr>
          <w:trHeight w:val="20"/>
        </w:trPr>
        <w:tc>
          <w:tcPr>
            <w:tcW w:w="4838"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b/>
                <w:bCs/>
                <w:sz w:val="20"/>
                <w:szCs w:val="20"/>
                <w:lang w:eastAsia="en-US"/>
              </w:rPr>
            </w:pPr>
            <w:r w:rsidRPr="0097036C">
              <w:rPr>
                <w:rFonts w:ascii="Times New Roman" w:hAnsi="Times New Roman" w:cs="Times New Roman"/>
                <w:b/>
                <w:bCs/>
                <w:sz w:val="20"/>
                <w:szCs w:val="20"/>
                <w:lang w:eastAsia="en-US"/>
              </w:rPr>
              <w:t>Усього доходу</w:t>
            </w:r>
          </w:p>
        </w:tc>
        <w:tc>
          <w:tcPr>
            <w:tcW w:w="407"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Pr="0097036C" w:rsidRDefault="0043703D" w:rsidP="007E7EBF">
            <w:pPr>
              <w:pStyle w:val="Standard"/>
              <w:rPr>
                <w:rFonts w:ascii="Times New Roman" w:hAnsi="Times New Roman" w:cs="Times New Roman"/>
                <w:b/>
                <w:bCs/>
                <w:sz w:val="20"/>
                <w:szCs w:val="20"/>
                <w:lang w:eastAsia="en-US"/>
              </w:rPr>
            </w:pPr>
          </w:p>
        </w:tc>
        <w:tc>
          <w:tcPr>
            <w:tcW w:w="1094"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b/>
                <w:sz w:val="20"/>
                <w:szCs w:val="20"/>
                <w:lang w:eastAsia="en-US"/>
              </w:rPr>
            </w:pPr>
          </w:p>
        </w:tc>
        <w:tc>
          <w:tcPr>
            <w:tcW w:w="183"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Pr="0097036C" w:rsidRDefault="0043703D" w:rsidP="007E7EBF">
            <w:pPr>
              <w:pStyle w:val="Standard"/>
              <w:widowControl w:val="0"/>
              <w:jc w:val="center"/>
              <w:rPr>
                <w:rFonts w:ascii="Times New Roman" w:hAnsi="Times New Roman" w:cs="Times New Roman"/>
                <w:b/>
                <w:sz w:val="20"/>
                <w:szCs w:val="20"/>
                <w:lang w:eastAsia="en-US"/>
              </w:rPr>
            </w:pPr>
          </w:p>
        </w:tc>
        <w:tc>
          <w:tcPr>
            <w:tcW w:w="1417"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23339" w:rsidP="00664B3F">
            <w:pPr>
              <w:pStyle w:val="Standard"/>
              <w:widowControl w:val="0"/>
              <w:jc w:val="center"/>
              <w:rPr>
                <w:rFonts w:ascii="Times New Roman" w:hAnsi="Times New Roman" w:cs="Times New Roman"/>
                <w:b/>
                <w:sz w:val="20"/>
                <w:szCs w:val="20"/>
                <w:lang w:val="ru-RU"/>
              </w:rPr>
            </w:pPr>
            <w:r w:rsidRPr="0097036C">
              <w:rPr>
                <w:rFonts w:ascii="Times New Roman" w:hAnsi="Times New Roman" w:cs="Times New Roman"/>
                <w:b/>
                <w:sz w:val="20"/>
                <w:szCs w:val="20"/>
                <w:lang w:val="ru-RU"/>
              </w:rPr>
              <w:t>24</w:t>
            </w:r>
            <w:r w:rsidR="00664B3F">
              <w:rPr>
                <w:rFonts w:ascii="Times New Roman" w:hAnsi="Times New Roman" w:cs="Times New Roman"/>
                <w:b/>
                <w:sz w:val="20"/>
                <w:szCs w:val="20"/>
                <w:lang w:val="ru-RU"/>
              </w:rPr>
              <w:t>63</w:t>
            </w:r>
          </w:p>
        </w:tc>
        <w:tc>
          <w:tcPr>
            <w:tcW w:w="1421" w:type="dxa"/>
            <w:tcBorders>
              <w:top w:val="single" w:sz="4" w:space="0" w:color="00000A"/>
              <w:bottom w:val="single" w:sz="4" w:space="0" w:color="00000A"/>
            </w:tcBorders>
            <w:tcMar>
              <w:top w:w="0" w:type="dxa"/>
              <w:left w:w="108" w:type="dxa"/>
              <w:bottom w:w="0" w:type="dxa"/>
              <w:right w:w="108" w:type="dxa"/>
            </w:tcMar>
          </w:tcPr>
          <w:p w:rsidR="0043703D" w:rsidRPr="0097036C" w:rsidRDefault="00664B3F" w:rsidP="007E7EBF">
            <w:pPr>
              <w:pStyle w:val="15"/>
              <w:rPr>
                <w:sz w:val="20"/>
                <w:szCs w:val="20"/>
                <w:lang w:val="uk-UA" w:eastAsia="en-US"/>
              </w:rPr>
            </w:pPr>
            <w:r>
              <w:rPr>
                <w:sz w:val="20"/>
                <w:szCs w:val="20"/>
                <w:lang w:val="uk-UA" w:eastAsia="en-US"/>
              </w:rPr>
              <w:t>2478</w:t>
            </w:r>
          </w:p>
        </w:tc>
      </w:tr>
      <w:tr w:rsidR="0043703D" w:rsidRPr="0097036C" w:rsidTr="007E7EBF">
        <w:trPr>
          <w:trHeight w:val="136"/>
        </w:trPr>
        <w:tc>
          <w:tcPr>
            <w:tcW w:w="4838"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ind w:firstLine="602"/>
              <w:rPr>
                <w:rFonts w:ascii="Times New Roman" w:hAnsi="Times New Roman" w:cs="Times New Roman"/>
                <w:b/>
                <w:sz w:val="20"/>
                <w:szCs w:val="20"/>
                <w:lang w:eastAsia="en-US"/>
              </w:rPr>
            </w:pPr>
          </w:p>
        </w:tc>
        <w:tc>
          <w:tcPr>
            <w:tcW w:w="407"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ind w:firstLine="602"/>
              <w:rPr>
                <w:rFonts w:ascii="Times New Roman" w:hAnsi="Times New Roman" w:cs="Times New Roman"/>
                <w:b/>
                <w:sz w:val="20"/>
                <w:szCs w:val="20"/>
                <w:lang w:eastAsia="en-US"/>
              </w:rPr>
            </w:pPr>
          </w:p>
        </w:tc>
        <w:tc>
          <w:tcPr>
            <w:tcW w:w="1094"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val="ru-RU" w:eastAsia="en-US"/>
              </w:rPr>
            </w:pPr>
            <w:r w:rsidRPr="0097036C">
              <w:rPr>
                <w:rFonts w:ascii="Times New Roman" w:hAnsi="Times New Roman" w:cs="Times New Roman"/>
                <w:sz w:val="20"/>
                <w:szCs w:val="20"/>
                <w:lang w:val="ru-RU" w:eastAsia="en-US"/>
              </w:rPr>
              <w:t>3.3.1</w:t>
            </w:r>
          </w:p>
        </w:tc>
        <w:tc>
          <w:tcPr>
            <w:tcW w:w="183"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jc w:val="center"/>
              <w:rPr>
                <w:rFonts w:ascii="Times New Roman" w:hAnsi="Times New Roman" w:cs="Times New Roman"/>
                <w:b/>
                <w:sz w:val="20"/>
                <w:szCs w:val="20"/>
                <w:lang w:eastAsia="en-US"/>
              </w:rPr>
            </w:pPr>
          </w:p>
        </w:tc>
        <w:tc>
          <w:tcPr>
            <w:tcW w:w="1417" w:type="dxa"/>
            <w:tcBorders>
              <w:top w:val="single" w:sz="4" w:space="0" w:color="00000A"/>
            </w:tcBorders>
            <w:tcMar>
              <w:top w:w="0" w:type="dxa"/>
              <w:left w:w="108" w:type="dxa"/>
              <w:bottom w:w="0" w:type="dxa"/>
              <w:right w:w="108" w:type="dxa"/>
            </w:tcMar>
            <w:vAlign w:val="center"/>
          </w:tcPr>
          <w:p w:rsidR="0043703D" w:rsidRPr="0097036C" w:rsidRDefault="0043703D" w:rsidP="007E7EBF">
            <w:pPr>
              <w:pStyle w:val="Standard"/>
              <w:widowControl w:val="0"/>
              <w:jc w:val="right"/>
              <w:rPr>
                <w:rFonts w:ascii="Times New Roman" w:hAnsi="Times New Roman" w:cs="Times New Roman"/>
                <w:sz w:val="20"/>
                <w:szCs w:val="20"/>
                <w:lang w:eastAsia="en-US"/>
              </w:rPr>
            </w:pPr>
          </w:p>
        </w:tc>
        <w:tc>
          <w:tcPr>
            <w:tcW w:w="1421" w:type="dxa"/>
            <w:tcBorders>
              <w:top w:val="single" w:sz="4" w:space="0" w:color="00000A"/>
            </w:tcBorders>
            <w:tcMar>
              <w:top w:w="0" w:type="dxa"/>
              <w:left w:w="108" w:type="dxa"/>
              <w:bottom w:w="0" w:type="dxa"/>
              <w:right w:w="108" w:type="dxa"/>
            </w:tcMar>
          </w:tcPr>
          <w:p w:rsidR="0043703D" w:rsidRPr="0097036C" w:rsidRDefault="0043703D" w:rsidP="007E7EBF">
            <w:pPr>
              <w:pStyle w:val="15"/>
              <w:rPr>
                <w:sz w:val="20"/>
                <w:szCs w:val="20"/>
                <w:lang w:val="uk-UA" w:eastAsia="en-US"/>
              </w:rPr>
            </w:pPr>
          </w:p>
        </w:tc>
      </w:tr>
      <w:tr w:rsidR="0043703D" w:rsidRPr="0097036C" w:rsidTr="00623339">
        <w:trPr>
          <w:trHeight w:val="323"/>
        </w:trPr>
        <w:tc>
          <w:tcPr>
            <w:tcW w:w="4838"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bCs/>
                <w:sz w:val="20"/>
                <w:szCs w:val="20"/>
                <w:lang w:eastAsia="en-US"/>
              </w:rPr>
            </w:pPr>
            <w:r w:rsidRPr="0097036C">
              <w:rPr>
                <w:rFonts w:ascii="Times New Roman" w:hAnsi="Times New Roman" w:cs="Times New Roman"/>
                <w:bCs/>
                <w:sz w:val="20"/>
                <w:szCs w:val="20"/>
                <w:lang w:eastAsia="en-US"/>
              </w:rPr>
              <w:t>Собівартість реалізованої продукції (товарів, робіт, послуг)</w:t>
            </w:r>
          </w:p>
        </w:tc>
        <w:tc>
          <w:tcPr>
            <w:tcW w:w="407"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13"/>
              <w:rPr>
                <w:rFonts w:ascii="Times New Roman" w:eastAsia="Courier New" w:hAnsi="Times New Roman" w:cs="Times New Roman"/>
                <w:bCs/>
                <w:color w:val="000000"/>
                <w:sz w:val="20"/>
                <w:szCs w:val="20"/>
                <w:lang w:val="uk-UA"/>
              </w:rPr>
            </w:pPr>
          </w:p>
          <w:p w:rsidR="0043703D" w:rsidRPr="0097036C" w:rsidRDefault="0043703D" w:rsidP="007E7EBF">
            <w:pPr>
              <w:pStyle w:val="Standard"/>
              <w:rPr>
                <w:rFonts w:ascii="Times New Roman" w:hAnsi="Times New Roman" w:cs="Times New Roman"/>
                <w:bCs/>
                <w:sz w:val="20"/>
                <w:szCs w:val="20"/>
                <w:lang w:eastAsia="en-US"/>
              </w:rPr>
            </w:pPr>
          </w:p>
        </w:tc>
        <w:tc>
          <w:tcPr>
            <w:tcW w:w="1094"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83"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tabs>
                <w:tab w:val="num" w:pos="324"/>
              </w:tabs>
              <w:ind w:left="324"/>
              <w:jc w:val="center"/>
              <w:rPr>
                <w:rFonts w:ascii="Times New Roman" w:hAnsi="Times New Roman" w:cs="Times New Roman"/>
                <w:sz w:val="20"/>
                <w:szCs w:val="20"/>
                <w:lang w:eastAsia="en-US"/>
              </w:rPr>
            </w:pPr>
          </w:p>
        </w:tc>
        <w:tc>
          <w:tcPr>
            <w:tcW w:w="1417" w:type="dxa"/>
            <w:tcMar>
              <w:top w:w="0" w:type="dxa"/>
              <w:left w:w="108" w:type="dxa"/>
              <w:bottom w:w="0" w:type="dxa"/>
              <w:right w:w="108" w:type="dxa"/>
            </w:tcMar>
            <w:vAlign w:val="center"/>
          </w:tcPr>
          <w:p w:rsidR="0043703D" w:rsidRPr="0097036C" w:rsidRDefault="00623339" w:rsidP="00664B3F">
            <w:pPr>
              <w:pStyle w:val="Standard"/>
              <w:widowControl w:val="0"/>
              <w:jc w:val="center"/>
              <w:rPr>
                <w:rFonts w:ascii="Times New Roman" w:hAnsi="Times New Roman" w:cs="Times New Roman"/>
                <w:sz w:val="20"/>
                <w:szCs w:val="20"/>
                <w:lang w:val="ru-RU" w:eastAsia="en-US"/>
              </w:rPr>
            </w:pPr>
            <w:r w:rsidRPr="0097036C">
              <w:rPr>
                <w:rFonts w:ascii="Times New Roman" w:hAnsi="Times New Roman" w:cs="Times New Roman"/>
                <w:sz w:val="20"/>
                <w:szCs w:val="20"/>
                <w:lang w:val="ru-RU" w:eastAsia="en-US"/>
              </w:rPr>
              <w:t>1</w:t>
            </w:r>
            <w:r w:rsidR="00664B3F">
              <w:rPr>
                <w:rFonts w:ascii="Times New Roman" w:hAnsi="Times New Roman" w:cs="Times New Roman"/>
                <w:sz w:val="20"/>
                <w:szCs w:val="20"/>
                <w:lang w:val="ru-RU" w:eastAsia="en-US"/>
              </w:rPr>
              <w:t>830</w:t>
            </w:r>
          </w:p>
        </w:tc>
        <w:tc>
          <w:tcPr>
            <w:tcW w:w="1421" w:type="dxa"/>
            <w:tcMar>
              <w:top w:w="0" w:type="dxa"/>
              <w:left w:w="108" w:type="dxa"/>
              <w:bottom w:w="0" w:type="dxa"/>
              <w:right w:w="108" w:type="dxa"/>
            </w:tcMar>
            <w:vAlign w:val="center"/>
          </w:tcPr>
          <w:p w:rsidR="0043703D" w:rsidRPr="0097036C" w:rsidRDefault="00664B3F" w:rsidP="00623339">
            <w:pPr>
              <w:pStyle w:val="15"/>
              <w:rPr>
                <w:b w:val="0"/>
                <w:bCs w:val="0"/>
                <w:sz w:val="20"/>
                <w:szCs w:val="20"/>
                <w:lang w:val="uk-UA" w:eastAsia="en-US"/>
              </w:rPr>
            </w:pPr>
            <w:r>
              <w:rPr>
                <w:b w:val="0"/>
                <w:bCs w:val="0"/>
                <w:sz w:val="20"/>
                <w:szCs w:val="20"/>
                <w:lang w:val="uk-UA" w:eastAsia="en-US"/>
              </w:rPr>
              <w:t>1797</w:t>
            </w:r>
          </w:p>
        </w:tc>
      </w:tr>
      <w:tr w:rsidR="0043703D" w:rsidRPr="0097036C" w:rsidTr="00623339">
        <w:trPr>
          <w:trHeight w:val="323"/>
        </w:trPr>
        <w:tc>
          <w:tcPr>
            <w:tcW w:w="4838"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sz w:val="20"/>
                <w:szCs w:val="20"/>
                <w:lang w:eastAsia="en-US"/>
              </w:rPr>
            </w:pPr>
            <w:r w:rsidRPr="0097036C">
              <w:rPr>
                <w:rFonts w:ascii="Times New Roman" w:hAnsi="Times New Roman" w:cs="Times New Roman"/>
                <w:sz w:val="20"/>
                <w:szCs w:val="20"/>
                <w:lang w:eastAsia="en-US"/>
              </w:rPr>
              <w:t>Адміністративні витрати</w:t>
            </w:r>
          </w:p>
        </w:tc>
        <w:tc>
          <w:tcPr>
            <w:tcW w:w="407"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rPr>
                <w:rFonts w:ascii="Times New Roman" w:hAnsi="Times New Roman" w:cs="Times New Roman"/>
                <w:sz w:val="20"/>
                <w:szCs w:val="20"/>
                <w:lang w:eastAsia="en-US"/>
              </w:rPr>
            </w:pPr>
          </w:p>
        </w:tc>
        <w:tc>
          <w:tcPr>
            <w:tcW w:w="1094" w:type="dxa"/>
            <w:tcBorders>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83" w:type="dxa"/>
            <w:tcBorders>
              <w:left w:val="single" w:sz="4" w:space="0" w:color="000000"/>
            </w:tcBorders>
            <w:tcMar>
              <w:top w:w="0" w:type="dxa"/>
              <w:left w:w="10" w:type="dxa"/>
              <w:bottom w:w="0" w:type="dxa"/>
              <w:right w:w="10"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417" w:type="dxa"/>
            <w:tcMar>
              <w:top w:w="0" w:type="dxa"/>
              <w:left w:w="108" w:type="dxa"/>
              <w:bottom w:w="0" w:type="dxa"/>
              <w:right w:w="108" w:type="dxa"/>
            </w:tcMar>
            <w:vAlign w:val="center"/>
          </w:tcPr>
          <w:p w:rsidR="0043703D" w:rsidRPr="0097036C" w:rsidRDefault="00664B3F" w:rsidP="007E7EBF">
            <w:pPr>
              <w:pStyle w:val="Standard"/>
              <w:widowControl w:val="0"/>
              <w:jc w:val="center"/>
              <w:rPr>
                <w:rFonts w:ascii="Times New Roman" w:hAnsi="Times New Roman" w:cs="Times New Roman"/>
                <w:sz w:val="20"/>
                <w:szCs w:val="20"/>
                <w:lang w:val="ru-RU"/>
              </w:rPr>
            </w:pPr>
            <w:r>
              <w:rPr>
                <w:rFonts w:ascii="Times New Roman" w:hAnsi="Times New Roman" w:cs="Times New Roman"/>
                <w:sz w:val="20"/>
                <w:szCs w:val="20"/>
                <w:lang w:val="ru-RU"/>
              </w:rPr>
              <w:t>595</w:t>
            </w:r>
          </w:p>
        </w:tc>
        <w:tc>
          <w:tcPr>
            <w:tcW w:w="1421" w:type="dxa"/>
            <w:tcMar>
              <w:top w:w="0" w:type="dxa"/>
              <w:left w:w="108" w:type="dxa"/>
              <w:bottom w:w="0" w:type="dxa"/>
              <w:right w:w="108" w:type="dxa"/>
            </w:tcMar>
            <w:vAlign w:val="center"/>
          </w:tcPr>
          <w:p w:rsidR="0043703D" w:rsidRPr="0097036C" w:rsidRDefault="00623339" w:rsidP="00623339">
            <w:pPr>
              <w:pStyle w:val="15"/>
              <w:rPr>
                <w:b w:val="0"/>
                <w:bCs w:val="0"/>
                <w:sz w:val="20"/>
                <w:szCs w:val="20"/>
                <w:lang w:val="uk-UA" w:eastAsia="en-US"/>
              </w:rPr>
            </w:pPr>
            <w:r w:rsidRPr="0097036C">
              <w:rPr>
                <w:b w:val="0"/>
                <w:bCs w:val="0"/>
                <w:sz w:val="20"/>
                <w:szCs w:val="20"/>
                <w:lang w:val="uk-UA" w:eastAsia="en-US"/>
              </w:rPr>
              <w:t>6</w:t>
            </w:r>
            <w:r w:rsidR="00664B3F">
              <w:rPr>
                <w:b w:val="0"/>
                <w:bCs w:val="0"/>
                <w:sz w:val="20"/>
                <w:szCs w:val="20"/>
                <w:lang w:val="uk-UA" w:eastAsia="en-US"/>
              </w:rPr>
              <w:t>20</w:t>
            </w:r>
          </w:p>
        </w:tc>
      </w:tr>
      <w:tr w:rsidR="0043703D" w:rsidRPr="0097036C" w:rsidTr="00623339">
        <w:trPr>
          <w:trHeight w:val="342"/>
        </w:trPr>
        <w:tc>
          <w:tcPr>
            <w:tcW w:w="4838"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b/>
                <w:bCs/>
                <w:sz w:val="20"/>
                <w:szCs w:val="20"/>
                <w:lang w:eastAsia="en-US"/>
              </w:rPr>
            </w:pPr>
            <w:r w:rsidRPr="0097036C">
              <w:rPr>
                <w:rFonts w:ascii="Times New Roman" w:hAnsi="Times New Roman" w:cs="Times New Roman"/>
                <w:b/>
                <w:bCs/>
                <w:sz w:val="20"/>
                <w:szCs w:val="20"/>
                <w:lang w:eastAsia="en-US"/>
              </w:rPr>
              <w:t>Усього витрат</w:t>
            </w:r>
          </w:p>
        </w:tc>
        <w:tc>
          <w:tcPr>
            <w:tcW w:w="407"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Pr="0097036C" w:rsidRDefault="0043703D" w:rsidP="007E7EBF">
            <w:pPr>
              <w:pStyle w:val="Standard"/>
              <w:rPr>
                <w:rFonts w:ascii="Times New Roman" w:hAnsi="Times New Roman" w:cs="Times New Roman"/>
                <w:b/>
                <w:bCs/>
                <w:sz w:val="20"/>
                <w:szCs w:val="20"/>
                <w:lang w:eastAsia="en-US"/>
              </w:rPr>
            </w:pPr>
          </w:p>
        </w:tc>
        <w:tc>
          <w:tcPr>
            <w:tcW w:w="1094"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b/>
                <w:bCs/>
                <w:sz w:val="20"/>
                <w:szCs w:val="20"/>
                <w:lang w:eastAsia="en-US"/>
              </w:rPr>
            </w:pPr>
          </w:p>
        </w:tc>
        <w:tc>
          <w:tcPr>
            <w:tcW w:w="183"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Pr="0097036C" w:rsidRDefault="0043703D" w:rsidP="007E7EBF">
            <w:pPr>
              <w:pStyle w:val="Standard"/>
              <w:widowControl w:val="0"/>
              <w:jc w:val="center"/>
              <w:rPr>
                <w:rFonts w:ascii="Times New Roman" w:hAnsi="Times New Roman" w:cs="Times New Roman"/>
                <w:b/>
                <w:bCs/>
                <w:sz w:val="20"/>
                <w:szCs w:val="20"/>
                <w:lang w:eastAsia="en-US"/>
              </w:rPr>
            </w:pPr>
          </w:p>
        </w:tc>
        <w:tc>
          <w:tcPr>
            <w:tcW w:w="1417"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23339" w:rsidP="007E7EBF">
            <w:pPr>
              <w:pStyle w:val="Standard"/>
              <w:widowControl w:val="0"/>
              <w:jc w:val="center"/>
              <w:rPr>
                <w:rFonts w:ascii="Times New Roman" w:hAnsi="Times New Roman" w:cs="Times New Roman"/>
                <w:b/>
                <w:sz w:val="20"/>
                <w:szCs w:val="20"/>
                <w:lang w:val="ru-RU"/>
              </w:rPr>
            </w:pPr>
            <w:r w:rsidRPr="0097036C">
              <w:rPr>
                <w:rFonts w:ascii="Times New Roman" w:hAnsi="Times New Roman" w:cs="Times New Roman"/>
                <w:b/>
                <w:sz w:val="20"/>
                <w:szCs w:val="20"/>
                <w:lang w:val="ru-RU"/>
              </w:rPr>
              <w:t>24</w:t>
            </w:r>
            <w:r w:rsidR="00664B3F">
              <w:rPr>
                <w:rFonts w:ascii="Times New Roman" w:hAnsi="Times New Roman" w:cs="Times New Roman"/>
                <w:b/>
                <w:sz w:val="20"/>
                <w:szCs w:val="20"/>
                <w:lang w:val="ru-RU"/>
              </w:rPr>
              <w:t>25</w:t>
            </w:r>
          </w:p>
        </w:tc>
        <w:tc>
          <w:tcPr>
            <w:tcW w:w="1421"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64B3F" w:rsidP="00623339">
            <w:pPr>
              <w:pStyle w:val="15"/>
              <w:rPr>
                <w:sz w:val="20"/>
                <w:szCs w:val="20"/>
                <w:lang w:val="uk-UA" w:eastAsia="en-US"/>
              </w:rPr>
            </w:pPr>
            <w:r>
              <w:rPr>
                <w:sz w:val="20"/>
                <w:szCs w:val="20"/>
                <w:lang w:val="uk-UA" w:eastAsia="en-US"/>
              </w:rPr>
              <w:t>2417</w:t>
            </w:r>
          </w:p>
        </w:tc>
      </w:tr>
      <w:tr w:rsidR="0043703D" w:rsidRPr="0097036C" w:rsidTr="0097036C">
        <w:trPr>
          <w:trHeight w:val="341"/>
        </w:trPr>
        <w:tc>
          <w:tcPr>
            <w:tcW w:w="4838"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b/>
                <w:sz w:val="20"/>
                <w:szCs w:val="20"/>
              </w:rPr>
            </w:pPr>
            <w:r w:rsidRPr="0097036C">
              <w:rPr>
                <w:rFonts w:ascii="Times New Roman" w:hAnsi="Times New Roman" w:cs="Times New Roman"/>
                <w:b/>
                <w:sz w:val="20"/>
                <w:szCs w:val="20"/>
              </w:rPr>
              <w:lastRenderedPageBreak/>
              <w:t>Фінансовий результат від операційної діяльності (прибуток)</w:t>
            </w:r>
          </w:p>
        </w:tc>
        <w:tc>
          <w:tcPr>
            <w:tcW w:w="407"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Pr="0097036C" w:rsidRDefault="0043703D" w:rsidP="007E7EBF">
            <w:pPr>
              <w:pStyle w:val="13"/>
              <w:rPr>
                <w:rFonts w:ascii="Times New Roman" w:eastAsia="Courier New" w:hAnsi="Times New Roman" w:cs="Times New Roman"/>
                <w:b/>
                <w:color w:val="000000"/>
                <w:sz w:val="20"/>
                <w:szCs w:val="20"/>
                <w:lang w:val="uk-UA" w:eastAsia="uk-UA"/>
              </w:rPr>
            </w:pPr>
          </w:p>
          <w:p w:rsidR="0043703D" w:rsidRPr="0097036C" w:rsidRDefault="0043703D" w:rsidP="007E7EBF">
            <w:pPr>
              <w:pStyle w:val="Standard"/>
              <w:rPr>
                <w:rFonts w:ascii="Times New Roman" w:hAnsi="Times New Roman" w:cs="Times New Roman"/>
                <w:b/>
                <w:sz w:val="20"/>
                <w:szCs w:val="20"/>
              </w:rPr>
            </w:pPr>
          </w:p>
        </w:tc>
        <w:tc>
          <w:tcPr>
            <w:tcW w:w="1094"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val="ru-RU" w:eastAsia="en-US"/>
              </w:rPr>
            </w:pPr>
            <w:r w:rsidRPr="0097036C">
              <w:rPr>
                <w:rFonts w:ascii="Times New Roman" w:hAnsi="Times New Roman" w:cs="Times New Roman"/>
                <w:sz w:val="20"/>
                <w:szCs w:val="20"/>
                <w:lang w:val="ru-RU" w:eastAsia="en-US"/>
              </w:rPr>
              <w:t>3.3.2</w:t>
            </w:r>
          </w:p>
        </w:tc>
        <w:tc>
          <w:tcPr>
            <w:tcW w:w="183"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Pr="0097036C" w:rsidRDefault="0043703D" w:rsidP="007E7EBF">
            <w:pPr>
              <w:pStyle w:val="Standard"/>
              <w:widowControl w:val="0"/>
              <w:jc w:val="center"/>
              <w:rPr>
                <w:rFonts w:ascii="Times New Roman" w:hAnsi="Times New Roman" w:cs="Times New Roman"/>
                <w:b/>
                <w:i/>
                <w:sz w:val="20"/>
                <w:szCs w:val="20"/>
                <w:lang w:eastAsia="en-US"/>
              </w:rPr>
            </w:pPr>
          </w:p>
        </w:tc>
        <w:tc>
          <w:tcPr>
            <w:tcW w:w="1417"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64B3F" w:rsidP="007E7EBF">
            <w:pPr>
              <w:pStyle w:val="Standard"/>
              <w:widowControl w:val="0"/>
              <w:jc w:val="center"/>
              <w:rPr>
                <w:rFonts w:ascii="Times New Roman" w:hAnsi="Times New Roman" w:cs="Times New Roman"/>
                <w:b/>
                <w:sz w:val="20"/>
                <w:szCs w:val="20"/>
                <w:lang w:val="ru-RU"/>
              </w:rPr>
            </w:pPr>
            <w:r>
              <w:rPr>
                <w:rFonts w:ascii="Times New Roman" w:hAnsi="Times New Roman" w:cs="Times New Roman"/>
                <w:b/>
                <w:sz w:val="20"/>
                <w:szCs w:val="20"/>
                <w:lang w:val="ru-RU"/>
              </w:rPr>
              <w:t>38</w:t>
            </w:r>
          </w:p>
        </w:tc>
        <w:tc>
          <w:tcPr>
            <w:tcW w:w="1421"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64B3F" w:rsidP="0097036C">
            <w:pPr>
              <w:pStyle w:val="15"/>
              <w:rPr>
                <w:sz w:val="20"/>
                <w:szCs w:val="20"/>
                <w:lang w:val="uk-UA" w:eastAsia="en-US"/>
              </w:rPr>
            </w:pPr>
            <w:r>
              <w:rPr>
                <w:sz w:val="20"/>
                <w:szCs w:val="20"/>
                <w:lang w:val="uk-UA" w:eastAsia="en-US"/>
              </w:rPr>
              <w:t>61</w:t>
            </w:r>
          </w:p>
        </w:tc>
      </w:tr>
      <w:tr w:rsidR="0043703D" w:rsidTr="007E7EBF">
        <w:trPr>
          <w:trHeight w:val="179"/>
        </w:trPr>
        <w:tc>
          <w:tcPr>
            <w:tcW w:w="4838" w:type="dxa"/>
            <w:tcBorders>
              <w:top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sz w:val="20"/>
                <w:szCs w:val="20"/>
                <w:lang w:eastAsia="en-US"/>
              </w:rPr>
            </w:pPr>
          </w:p>
        </w:tc>
        <w:tc>
          <w:tcPr>
            <w:tcW w:w="407" w:type="dxa"/>
            <w:tcBorders>
              <w:top w:val="single" w:sz="4" w:space="0" w:color="00000A"/>
              <w:left w:val="single" w:sz="4" w:space="0" w:color="000000"/>
            </w:tcBorders>
            <w:tcMar>
              <w:top w:w="0" w:type="dxa"/>
              <w:left w:w="10" w:type="dxa"/>
              <w:bottom w:w="0" w:type="dxa"/>
              <w:right w:w="10" w:type="dxa"/>
            </w:tcMar>
            <w:vAlign w:val="center"/>
          </w:tcPr>
          <w:p w:rsidR="0043703D" w:rsidRPr="0097036C" w:rsidRDefault="0043703D" w:rsidP="007E7EBF">
            <w:pPr>
              <w:pStyle w:val="Standard"/>
              <w:rPr>
                <w:rFonts w:ascii="Times New Roman" w:hAnsi="Times New Roman" w:cs="Times New Roman"/>
                <w:sz w:val="20"/>
                <w:szCs w:val="20"/>
                <w:lang w:eastAsia="en-US"/>
              </w:rPr>
            </w:pPr>
          </w:p>
        </w:tc>
        <w:tc>
          <w:tcPr>
            <w:tcW w:w="1094" w:type="dxa"/>
            <w:tcBorders>
              <w:top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widowControl w:val="0"/>
              <w:jc w:val="center"/>
              <w:rPr>
                <w:rFonts w:ascii="Times New Roman" w:hAnsi="Times New Roman" w:cs="Times New Roman"/>
                <w:sz w:val="20"/>
                <w:szCs w:val="20"/>
                <w:lang w:eastAsia="en-US"/>
              </w:rPr>
            </w:pPr>
          </w:p>
        </w:tc>
        <w:tc>
          <w:tcPr>
            <w:tcW w:w="183" w:type="dxa"/>
            <w:tcBorders>
              <w:top w:val="single" w:sz="4" w:space="0" w:color="00000A"/>
              <w:left w:val="single" w:sz="4" w:space="0" w:color="000000"/>
            </w:tcBorders>
            <w:tcMar>
              <w:top w:w="0" w:type="dxa"/>
              <w:left w:w="10" w:type="dxa"/>
              <w:bottom w:w="0" w:type="dxa"/>
              <w:right w:w="10" w:type="dxa"/>
            </w:tcMar>
            <w:vAlign w:val="center"/>
          </w:tcPr>
          <w:p w:rsidR="0043703D" w:rsidRDefault="0043703D" w:rsidP="007E7EBF">
            <w:pPr>
              <w:pStyle w:val="Standard"/>
              <w:widowControl w:val="0"/>
              <w:jc w:val="center"/>
              <w:rPr>
                <w:rFonts w:ascii="Times New Roman" w:hAnsi="Times New Roman" w:cs="Times New Roman"/>
                <w:sz w:val="20"/>
                <w:szCs w:val="20"/>
                <w:lang w:eastAsia="en-US"/>
              </w:rPr>
            </w:pPr>
          </w:p>
        </w:tc>
        <w:tc>
          <w:tcPr>
            <w:tcW w:w="1417" w:type="dxa"/>
            <w:tcBorders>
              <w:top w:val="single" w:sz="4" w:space="0" w:color="00000A"/>
            </w:tcBorders>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sz w:val="20"/>
                <w:szCs w:val="20"/>
                <w:lang w:eastAsia="en-US"/>
              </w:rPr>
            </w:pPr>
          </w:p>
        </w:tc>
        <w:tc>
          <w:tcPr>
            <w:tcW w:w="1421" w:type="dxa"/>
            <w:tcBorders>
              <w:top w:val="single" w:sz="4" w:space="0" w:color="00000A"/>
            </w:tcBorders>
            <w:tcMar>
              <w:top w:w="0" w:type="dxa"/>
              <w:left w:w="108" w:type="dxa"/>
              <w:bottom w:w="0" w:type="dxa"/>
              <w:right w:w="108" w:type="dxa"/>
            </w:tcMar>
          </w:tcPr>
          <w:p w:rsidR="0043703D" w:rsidRDefault="0043703D" w:rsidP="007E7EBF">
            <w:pPr>
              <w:pStyle w:val="15"/>
              <w:rPr>
                <w:sz w:val="20"/>
                <w:szCs w:val="20"/>
                <w:lang w:val="uk-UA" w:eastAsia="en-US"/>
              </w:rPr>
            </w:pPr>
          </w:p>
        </w:tc>
      </w:tr>
      <w:tr w:rsidR="0043703D" w:rsidTr="0097036C">
        <w:trPr>
          <w:trHeight w:val="332"/>
        </w:trPr>
        <w:tc>
          <w:tcPr>
            <w:tcW w:w="4838" w:type="dxa"/>
            <w:tcBorders>
              <w:bottom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rPr>
                <w:rFonts w:ascii="Times New Roman" w:hAnsi="Times New Roman" w:cs="Times New Roman"/>
                <w:b/>
                <w:bCs/>
                <w:sz w:val="20"/>
                <w:szCs w:val="20"/>
                <w:lang w:eastAsia="en-US"/>
              </w:rPr>
            </w:pPr>
            <w:r>
              <w:rPr>
                <w:rFonts w:ascii="Times New Roman" w:hAnsi="Times New Roman" w:cs="Times New Roman"/>
                <w:b/>
                <w:bCs/>
                <w:sz w:val="20"/>
                <w:szCs w:val="20"/>
                <w:lang w:eastAsia="en-US"/>
              </w:rPr>
              <w:t>Фінансовий результат до оподаткування (прибуток)</w:t>
            </w:r>
          </w:p>
        </w:tc>
        <w:tc>
          <w:tcPr>
            <w:tcW w:w="407" w:type="dxa"/>
            <w:tcBorders>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b/>
                <w:bCs/>
                <w:sz w:val="20"/>
                <w:szCs w:val="20"/>
                <w:lang w:eastAsia="en-US"/>
              </w:rPr>
            </w:pPr>
          </w:p>
        </w:tc>
        <w:tc>
          <w:tcPr>
            <w:tcW w:w="1094" w:type="dxa"/>
            <w:tcBorders>
              <w:bottom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
                <w:bCs/>
                <w:sz w:val="20"/>
                <w:szCs w:val="20"/>
                <w:lang w:eastAsia="en-US"/>
              </w:rPr>
            </w:pPr>
          </w:p>
        </w:tc>
        <w:tc>
          <w:tcPr>
            <w:tcW w:w="183" w:type="dxa"/>
            <w:tcBorders>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widowControl w:val="0"/>
              <w:jc w:val="center"/>
              <w:rPr>
                <w:rFonts w:ascii="Times New Roman" w:hAnsi="Times New Roman" w:cs="Times New Roman"/>
                <w:b/>
                <w:bCs/>
                <w:sz w:val="20"/>
                <w:szCs w:val="20"/>
                <w:lang w:eastAsia="en-US"/>
              </w:rPr>
            </w:pPr>
          </w:p>
        </w:tc>
        <w:tc>
          <w:tcPr>
            <w:tcW w:w="1417" w:type="dxa"/>
            <w:tcBorders>
              <w:bottom w:val="single" w:sz="4" w:space="0" w:color="00000A"/>
            </w:tcBorders>
            <w:tcMar>
              <w:top w:w="0" w:type="dxa"/>
              <w:left w:w="108" w:type="dxa"/>
              <w:bottom w:w="0" w:type="dxa"/>
              <w:right w:w="108" w:type="dxa"/>
            </w:tcMar>
            <w:vAlign w:val="center"/>
          </w:tcPr>
          <w:p w:rsidR="0043703D" w:rsidRPr="0097036C" w:rsidRDefault="00664B3F" w:rsidP="007E7EBF">
            <w:pPr>
              <w:pStyle w:val="Standard"/>
              <w:widowControl w:val="0"/>
              <w:jc w:val="center"/>
              <w:rPr>
                <w:rFonts w:ascii="Times New Roman" w:hAnsi="Times New Roman" w:cs="Times New Roman"/>
                <w:b/>
                <w:sz w:val="20"/>
                <w:szCs w:val="20"/>
                <w:lang w:val="ru-RU"/>
              </w:rPr>
            </w:pPr>
            <w:r>
              <w:rPr>
                <w:rFonts w:ascii="Times New Roman" w:hAnsi="Times New Roman" w:cs="Times New Roman"/>
                <w:b/>
                <w:sz w:val="20"/>
                <w:szCs w:val="20"/>
                <w:lang w:val="ru-RU"/>
              </w:rPr>
              <w:t>38</w:t>
            </w:r>
          </w:p>
        </w:tc>
        <w:tc>
          <w:tcPr>
            <w:tcW w:w="1421" w:type="dxa"/>
            <w:tcBorders>
              <w:bottom w:val="single" w:sz="4" w:space="0" w:color="00000A"/>
            </w:tcBorders>
            <w:tcMar>
              <w:top w:w="0" w:type="dxa"/>
              <w:left w:w="108" w:type="dxa"/>
              <w:bottom w:w="0" w:type="dxa"/>
              <w:right w:w="108" w:type="dxa"/>
            </w:tcMar>
            <w:vAlign w:val="center"/>
          </w:tcPr>
          <w:p w:rsidR="0043703D" w:rsidRDefault="00664B3F" w:rsidP="0097036C">
            <w:pPr>
              <w:pStyle w:val="15"/>
              <w:rPr>
                <w:sz w:val="20"/>
                <w:szCs w:val="20"/>
                <w:lang w:val="uk-UA" w:eastAsia="en-US"/>
              </w:rPr>
            </w:pPr>
            <w:r>
              <w:rPr>
                <w:sz w:val="20"/>
                <w:szCs w:val="20"/>
                <w:lang w:val="uk-UA" w:eastAsia="en-US"/>
              </w:rPr>
              <w:t>61</w:t>
            </w:r>
          </w:p>
        </w:tc>
      </w:tr>
      <w:tr w:rsidR="0043703D" w:rsidTr="0097036C">
        <w:trPr>
          <w:trHeight w:val="332"/>
        </w:trPr>
        <w:tc>
          <w:tcPr>
            <w:tcW w:w="4838"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Pr="0097036C" w:rsidRDefault="0043703D" w:rsidP="007E7EBF">
            <w:pPr>
              <w:pStyle w:val="Standard"/>
              <w:rPr>
                <w:rFonts w:ascii="Times New Roman" w:hAnsi="Times New Roman" w:cs="Times New Roman"/>
                <w:sz w:val="20"/>
                <w:szCs w:val="20"/>
                <w:lang w:val="ru-RU" w:eastAsia="en-US"/>
              </w:rPr>
            </w:pPr>
            <w:r>
              <w:rPr>
                <w:rFonts w:ascii="Times New Roman" w:hAnsi="Times New Roman" w:cs="Times New Roman"/>
                <w:sz w:val="20"/>
                <w:szCs w:val="20"/>
                <w:lang w:eastAsia="en-US"/>
              </w:rPr>
              <w:t>Витрати (дохід) з податку на прибуток</w:t>
            </w:r>
          </w:p>
        </w:tc>
        <w:tc>
          <w:tcPr>
            <w:tcW w:w="407"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sz w:val="20"/>
                <w:szCs w:val="20"/>
                <w:lang w:eastAsia="en-US"/>
              </w:rPr>
            </w:pPr>
          </w:p>
        </w:tc>
        <w:tc>
          <w:tcPr>
            <w:tcW w:w="1094"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sz w:val="20"/>
                <w:szCs w:val="20"/>
                <w:lang w:eastAsia="en-US"/>
              </w:rPr>
            </w:pPr>
          </w:p>
        </w:tc>
        <w:tc>
          <w:tcPr>
            <w:tcW w:w="183"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widowControl w:val="0"/>
              <w:jc w:val="center"/>
              <w:rPr>
                <w:rFonts w:ascii="Times New Roman" w:hAnsi="Times New Roman" w:cs="Times New Roman"/>
                <w:sz w:val="20"/>
                <w:szCs w:val="20"/>
                <w:lang w:eastAsia="en-US"/>
              </w:rPr>
            </w:pPr>
          </w:p>
        </w:tc>
        <w:tc>
          <w:tcPr>
            <w:tcW w:w="1417"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64B3F" w:rsidP="007E7EBF">
            <w:pPr>
              <w:pStyle w:val="Standard"/>
              <w:widowControl w:val="0"/>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421" w:type="dxa"/>
            <w:tcBorders>
              <w:top w:val="single" w:sz="4" w:space="0" w:color="00000A"/>
              <w:bottom w:val="single" w:sz="4" w:space="0" w:color="00000A"/>
            </w:tcBorders>
            <w:tcMar>
              <w:top w:w="0" w:type="dxa"/>
              <w:left w:w="108" w:type="dxa"/>
              <w:bottom w:w="0" w:type="dxa"/>
              <w:right w:w="108" w:type="dxa"/>
            </w:tcMar>
            <w:vAlign w:val="center"/>
          </w:tcPr>
          <w:p w:rsidR="0043703D" w:rsidRDefault="00664B3F" w:rsidP="0097036C">
            <w:pPr>
              <w:pStyle w:val="15"/>
              <w:rPr>
                <w:b w:val="0"/>
                <w:bCs w:val="0"/>
                <w:sz w:val="20"/>
                <w:szCs w:val="20"/>
                <w:lang w:val="uk-UA" w:eastAsia="en-US"/>
              </w:rPr>
            </w:pPr>
            <w:r>
              <w:rPr>
                <w:b w:val="0"/>
                <w:bCs w:val="0"/>
                <w:sz w:val="20"/>
                <w:szCs w:val="20"/>
                <w:lang w:val="uk-UA" w:eastAsia="en-US"/>
              </w:rPr>
              <w:t>11</w:t>
            </w:r>
          </w:p>
        </w:tc>
      </w:tr>
      <w:tr w:rsidR="0043703D" w:rsidTr="0097036C">
        <w:trPr>
          <w:trHeight w:val="333"/>
        </w:trPr>
        <w:tc>
          <w:tcPr>
            <w:tcW w:w="4838"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rPr>
                <w:rFonts w:ascii="Times New Roman" w:hAnsi="Times New Roman" w:cs="Times New Roman"/>
                <w:b/>
                <w:bCs/>
                <w:i/>
                <w:iCs/>
                <w:lang w:eastAsia="en-US"/>
              </w:rPr>
            </w:pPr>
            <w:r>
              <w:rPr>
                <w:rFonts w:ascii="Times New Roman" w:hAnsi="Times New Roman" w:cs="Times New Roman"/>
                <w:b/>
                <w:bCs/>
                <w:i/>
                <w:iCs/>
                <w:lang w:eastAsia="en-US"/>
              </w:rPr>
              <w:t>Чистий фінансовий результат (прибуток)</w:t>
            </w:r>
          </w:p>
        </w:tc>
        <w:tc>
          <w:tcPr>
            <w:tcW w:w="407"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b/>
                <w:bCs/>
                <w:i/>
                <w:iCs/>
                <w:lang w:eastAsia="en-US"/>
              </w:rPr>
            </w:pPr>
          </w:p>
        </w:tc>
        <w:tc>
          <w:tcPr>
            <w:tcW w:w="1094" w:type="dxa"/>
            <w:tcBorders>
              <w:top w:val="single" w:sz="4" w:space="0" w:color="00000A"/>
              <w:bottom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13"/>
            </w:pPr>
          </w:p>
        </w:tc>
        <w:tc>
          <w:tcPr>
            <w:tcW w:w="183" w:type="dxa"/>
            <w:tcBorders>
              <w:top w:val="single" w:sz="4" w:space="0" w:color="00000A"/>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widowControl w:val="0"/>
              <w:jc w:val="center"/>
              <w:rPr>
                <w:rFonts w:ascii="Times New Roman" w:hAnsi="Times New Roman" w:cs="Times New Roman"/>
                <w:bCs/>
                <w:sz w:val="20"/>
                <w:szCs w:val="20"/>
                <w:lang w:eastAsia="en-US"/>
              </w:rPr>
            </w:pPr>
          </w:p>
        </w:tc>
        <w:tc>
          <w:tcPr>
            <w:tcW w:w="1417" w:type="dxa"/>
            <w:tcBorders>
              <w:top w:val="single" w:sz="4" w:space="0" w:color="00000A"/>
              <w:bottom w:val="single" w:sz="4" w:space="0" w:color="00000A"/>
            </w:tcBorders>
            <w:tcMar>
              <w:top w:w="0" w:type="dxa"/>
              <w:left w:w="108" w:type="dxa"/>
              <w:bottom w:w="0" w:type="dxa"/>
              <w:right w:w="108" w:type="dxa"/>
            </w:tcMar>
            <w:vAlign w:val="center"/>
          </w:tcPr>
          <w:p w:rsidR="0043703D" w:rsidRPr="0097036C" w:rsidRDefault="00664B3F" w:rsidP="007E7EBF">
            <w:pPr>
              <w:pStyle w:val="Standard"/>
              <w:widowControl w:val="0"/>
              <w:jc w:val="center"/>
              <w:rPr>
                <w:lang w:val="ru-RU"/>
              </w:rPr>
            </w:pPr>
            <w:r>
              <w:rPr>
                <w:rStyle w:val="14"/>
                <w:rFonts w:ascii="Times New Roman" w:hAnsi="Times New Roman" w:cs="Times New Roman"/>
                <w:b/>
                <w:sz w:val="20"/>
                <w:szCs w:val="20"/>
                <w:lang w:val="ru-RU"/>
              </w:rPr>
              <w:t>31</w:t>
            </w:r>
          </w:p>
        </w:tc>
        <w:tc>
          <w:tcPr>
            <w:tcW w:w="1421" w:type="dxa"/>
            <w:tcBorders>
              <w:top w:val="single" w:sz="4" w:space="0" w:color="00000A"/>
              <w:bottom w:val="single" w:sz="4" w:space="0" w:color="00000A"/>
            </w:tcBorders>
            <w:tcMar>
              <w:top w:w="0" w:type="dxa"/>
              <w:left w:w="108" w:type="dxa"/>
              <w:bottom w:w="0" w:type="dxa"/>
              <w:right w:w="108" w:type="dxa"/>
            </w:tcMar>
            <w:vAlign w:val="center"/>
          </w:tcPr>
          <w:p w:rsidR="0043703D" w:rsidRDefault="00664B3F" w:rsidP="0097036C">
            <w:pPr>
              <w:pStyle w:val="15"/>
              <w:rPr>
                <w:sz w:val="20"/>
                <w:szCs w:val="20"/>
                <w:lang w:val="uk-UA" w:eastAsia="en-US"/>
              </w:rPr>
            </w:pPr>
            <w:r>
              <w:rPr>
                <w:sz w:val="20"/>
                <w:szCs w:val="20"/>
                <w:lang w:val="uk-UA" w:eastAsia="en-US"/>
              </w:rPr>
              <w:t>50</w:t>
            </w:r>
          </w:p>
        </w:tc>
      </w:tr>
      <w:tr w:rsidR="0043703D" w:rsidTr="007E7EBF">
        <w:trPr>
          <w:trHeight w:val="56"/>
        </w:trPr>
        <w:tc>
          <w:tcPr>
            <w:tcW w:w="4838" w:type="dxa"/>
            <w:tcBorders>
              <w:top w:val="single" w:sz="4" w:space="0" w:color="00000A"/>
            </w:tcBorders>
            <w:tcMar>
              <w:top w:w="0" w:type="dxa"/>
              <w:left w:w="108" w:type="dxa"/>
              <w:bottom w:w="0" w:type="dxa"/>
              <w:right w:w="108" w:type="dxa"/>
            </w:tcMar>
            <w:vAlign w:val="center"/>
          </w:tcPr>
          <w:p w:rsidR="0043703D" w:rsidRDefault="0043703D" w:rsidP="007E7EBF">
            <w:pPr>
              <w:pStyle w:val="Standard"/>
              <w:rPr>
                <w:rFonts w:ascii="Times New Roman" w:hAnsi="Times New Roman" w:cs="Times New Roman"/>
                <w:b/>
                <w:bCs/>
                <w:sz w:val="20"/>
                <w:szCs w:val="20"/>
                <w:lang w:eastAsia="en-US"/>
              </w:rPr>
            </w:pPr>
          </w:p>
        </w:tc>
        <w:tc>
          <w:tcPr>
            <w:tcW w:w="407" w:type="dxa"/>
            <w:tcBorders>
              <w:top w:val="single" w:sz="4" w:space="0" w:color="00000A"/>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b/>
                <w:bCs/>
                <w:sz w:val="20"/>
                <w:szCs w:val="20"/>
                <w:lang w:eastAsia="en-US"/>
              </w:rPr>
            </w:pPr>
          </w:p>
        </w:tc>
        <w:tc>
          <w:tcPr>
            <w:tcW w:w="1277" w:type="dxa"/>
            <w:gridSpan w:val="2"/>
            <w:tcBorders>
              <w:top w:val="single" w:sz="4" w:space="0" w:color="00000A"/>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
                <w:bCs/>
                <w:sz w:val="20"/>
                <w:szCs w:val="20"/>
                <w:lang w:eastAsia="en-US"/>
              </w:rPr>
            </w:pPr>
          </w:p>
        </w:tc>
        <w:tc>
          <w:tcPr>
            <w:tcW w:w="1417" w:type="dxa"/>
            <w:tcBorders>
              <w:top w:val="single" w:sz="4" w:space="0" w:color="00000A"/>
            </w:tcBorders>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sz w:val="20"/>
                <w:szCs w:val="20"/>
              </w:rPr>
            </w:pPr>
          </w:p>
        </w:tc>
        <w:tc>
          <w:tcPr>
            <w:tcW w:w="1421" w:type="dxa"/>
            <w:tcBorders>
              <w:top w:val="single" w:sz="4" w:space="0" w:color="00000A"/>
            </w:tcBorders>
            <w:tcMar>
              <w:top w:w="0" w:type="dxa"/>
              <w:left w:w="108" w:type="dxa"/>
              <w:bottom w:w="0" w:type="dxa"/>
              <w:right w:w="108" w:type="dxa"/>
            </w:tcMar>
          </w:tcPr>
          <w:p w:rsidR="0043703D" w:rsidRDefault="0043703D" w:rsidP="007E7EBF">
            <w:pPr>
              <w:pStyle w:val="15"/>
              <w:rPr>
                <w:sz w:val="20"/>
                <w:szCs w:val="20"/>
                <w:lang w:val="uk-UA" w:eastAsia="en-US"/>
              </w:rPr>
            </w:pPr>
          </w:p>
        </w:tc>
      </w:tr>
    </w:tbl>
    <w:p w:rsidR="0043703D" w:rsidRDefault="0043703D" w:rsidP="0043703D">
      <w:pPr>
        <w:pStyle w:val="Standard"/>
        <w:rPr>
          <w:rFonts w:ascii="Times New Roman" w:hAnsi="Times New Roman" w:cs="Times New Roman"/>
          <w:sz w:val="20"/>
          <w:szCs w:val="20"/>
          <w:lang w:val="ru-RU"/>
        </w:rPr>
      </w:pPr>
      <w:bookmarkStart w:id="1" w:name="_Toc327360009"/>
      <w:bookmarkStart w:id="2" w:name="_Toc52162883"/>
      <w:bookmarkStart w:id="3" w:name="_Toc117425540"/>
    </w:p>
    <w:p w:rsidR="00B80387" w:rsidRDefault="00B80387" w:rsidP="0043703D">
      <w:pPr>
        <w:pStyle w:val="Standard"/>
        <w:rPr>
          <w:rFonts w:ascii="Times New Roman" w:hAnsi="Times New Roman" w:cs="Times New Roman"/>
          <w:sz w:val="20"/>
          <w:szCs w:val="20"/>
          <w:lang w:val="ru-RU"/>
        </w:rPr>
      </w:pPr>
    </w:p>
    <w:p w:rsidR="00B80387" w:rsidRDefault="00B80387" w:rsidP="0043703D">
      <w:pPr>
        <w:pStyle w:val="Standard"/>
        <w:rPr>
          <w:rFonts w:ascii="Times New Roman" w:hAnsi="Times New Roman" w:cs="Times New Roman"/>
          <w:sz w:val="20"/>
          <w:szCs w:val="20"/>
          <w:lang w:val="ru-RU"/>
        </w:rPr>
      </w:pPr>
    </w:p>
    <w:p w:rsidR="00B80387" w:rsidRDefault="00B80387" w:rsidP="0043703D">
      <w:pPr>
        <w:pStyle w:val="Standard"/>
        <w:rPr>
          <w:rFonts w:ascii="Times New Roman" w:hAnsi="Times New Roman" w:cs="Times New Roman"/>
          <w:sz w:val="20"/>
          <w:szCs w:val="20"/>
          <w:lang w:val="ru-RU"/>
        </w:rPr>
      </w:pPr>
    </w:p>
    <w:p w:rsidR="00B80387" w:rsidRDefault="00B80387" w:rsidP="0043703D">
      <w:pPr>
        <w:pStyle w:val="Standard"/>
        <w:rPr>
          <w:rFonts w:ascii="Times New Roman" w:hAnsi="Times New Roman" w:cs="Times New Roman"/>
          <w:sz w:val="20"/>
          <w:szCs w:val="20"/>
          <w:lang w:val="ru-RU"/>
        </w:rPr>
      </w:pPr>
    </w:p>
    <w:p w:rsidR="0043703D" w:rsidRDefault="0043703D" w:rsidP="0043703D">
      <w:pPr>
        <w:pStyle w:val="11"/>
        <w:jc w:val="center"/>
        <w:outlineLvl w:val="9"/>
      </w:pPr>
      <w:r>
        <w:rPr>
          <w:rStyle w:val="14"/>
          <w:rFonts w:ascii="Times New Roman" w:hAnsi="Times New Roman" w:cs="Times New Roman"/>
          <w:color w:val="auto"/>
        </w:rPr>
        <w:t xml:space="preserve">Звіт про рух грошових </w:t>
      </w:r>
      <w:bookmarkEnd w:id="1"/>
      <w:bookmarkEnd w:id="2"/>
      <w:bookmarkEnd w:id="3"/>
      <w:r>
        <w:rPr>
          <w:rStyle w:val="14"/>
          <w:rFonts w:ascii="Times New Roman" w:hAnsi="Times New Roman" w:cs="Times New Roman"/>
          <w:color w:val="auto"/>
        </w:rPr>
        <w:t>коштів (за прямим методом</w:t>
      </w:r>
      <w:r>
        <w:rPr>
          <w:rStyle w:val="14"/>
          <w:rFonts w:ascii="Times New Roman" w:hAnsi="Times New Roman" w:cs="Times New Roman"/>
        </w:rPr>
        <w:t>)</w:t>
      </w:r>
    </w:p>
    <w:p w:rsidR="0043703D" w:rsidRDefault="0043703D" w:rsidP="0043703D">
      <w:pPr>
        <w:pStyle w:val="Standard"/>
        <w:rPr>
          <w:rFonts w:ascii="Times New Roman" w:hAnsi="Times New Roman" w:cs="Times New Roman"/>
          <w:sz w:val="20"/>
          <w:szCs w:val="20"/>
        </w:rPr>
      </w:pPr>
      <w:r>
        <w:rPr>
          <w:rFonts w:ascii="Times New Roman" w:hAnsi="Times New Roman" w:cs="Times New Roman"/>
          <w:sz w:val="20"/>
          <w:szCs w:val="20"/>
        </w:rPr>
        <w:t>за рік, що закінчився 31 грудня 2018 рік</w:t>
      </w:r>
    </w:p>
    <w:p w:rsidR="0043703D" w:rsidRDefault="0043703D" w:rsidP="0043703D">
      <w:pPr>
        <w:pStyle w:val="Standard"/>
        <w:rPr>
          <w:rFonts w:ascii="Times New Roman" w:hAnsi="Times New Roman" w:cs="Times New Roman"/>
          <w:sz w:val="20"/>
          <w:szCs w:val="20"/>
        </w:rPr>
      </w:pPr>
      <w:r>
        <w:rPr>
          <w:rFonts w:ascii="Times New Roman" w:hAnsi="Times New Roman" w:cs="Times New Roman"/>
          <w:sz w:val="20"/>
          <w:szCs w:val="20"/>
        </w:rPr>
        <w:t>(в тис. гривень)</w:t>
      </w:r>
    </w:p>
    <w:tbl>
      <w:tblPr>
        <w:tblW w:w="10632" w:type="dxa"/>
        <w:tblInd w:w="-743" w:type="dxa"/>
        <w:tblLayout w:type="fixed"/>
        <w:tblLook w:val="04A0"/>
      </w:tblPr>
      <w:tblGrid>
        <w:gridCol w:w="6018"/>
        <w:gridCol w:w="536"/>
        <w:gridCol w:w="236"/>
        <w:gridCol w:w="854"/>
        <w:gridCol w:w="1494"/>
        <w:gridCol w:w="1494"/>
      </w:tblGrid>
      <w:tr w:rsidR="0043703D" w:rsidTr="0097036C">
        <w:trPr>
          <w:trHeight w:val="318"/>
        </w:trPr>
        <w:tc>
          <w:tcPr>
            <w:tcW w:w="6554" w:type="dxa"/>
            <w:gridSpan w:val="2"/>
            <w:tcBorders>
              <w:bottom w:val="single" w:sz="4" w:space="0" w:color="000000"/>
            </w:tcBorders>
            <w:tcMar>
              <w:top w:w="0" w:type="dxa"/>
              <w:left w:w="108" w:type="dxa"/>
              <w:bottom w:w="0" w:type="dxa"/>
              <w:right w:w="108" w:type="dxa"/>
            </w:tcMar>
            <w:vAlign w:val="center"/>
          </w:tcPr>
          <w:p w:rsidR="0043703D" w:rsidRPr="00035DE2" w:rsidRDefault="0043703D" w:rsidP="007E7EBF">
            <w:pPr>
              <w:pStyle w:val="Standard"/>
              <w:jc w:val="right"/>
              <w:rPr>
                <w:rFonts w:ascii="Times New Roman" w:hAnsi="Times New Roman" w:cs="Times New Roman"/>
                <w:b/>
                <w:bCs/>
                <w:iCs/>
                <w:sz w:val="20"/>
                <w:szCs w:val="20"/>
                <w:shd w:val="clear" w:color="auto" w:fill="FFFFFF"/>
              </w:rPr>
            </w:pPr>
            <w:r w:rsidRPr="00035DE2">
              <w:rPr>
                <w:rFonts w:ascii="Times New Roman" w:hAnsi="Times New Roman" w:cs="Times New Roman"/>
                <w:b/>
                <w:bCs/>
                <w:iCs/>
                <w:sz w:val="20"/>
                <w:szCs w:val="20"/>
                <w:shd w:val="clear" w:color="auto" w:fill="FFFFFF"/>
              </w:rPr>
              <w:t> </w:t>
            </w:r>
            <w:r w:rsidRPr="00035DE2">
              <w:rPr>
                <w:rFonts w:ascii="Times New Roman" w:hAnsi="Times New Roman" w:cs="Times New Roman"/>
                <w:b/>
                <w:bCs/>
                <w:iCs/>
                <w:sz w:val="20"/>
                <w:szCs w:val="20"/>
                <w:shd w:val="clear" w:color="auto" w:fill="FFFFFF"/>
                <w:lang w:val="ru-RU"/>
              </w:rPr>
              <w:t xml:space="preserve">                                                                                                                          </w:t>
            </w:r>
            <w:r>
              <w:rPr>
                <w:rFonts w:ascii="Times New Roman" w:hAnsi="Times New Roman" w:cs="Times New Roman"/>
                <w:b/>
                <w:bCs/>
                <w:iCs/>
                <w:sz w:val="20"/>
                <w:szCs w:val="20"/>
                <w:shd w:val="clear" w:color="auto" w:fill="FFFFFF"/>
                <w:lang w:val="ru-RU"/>
              </w:rPr>
              <w:t xml:space="preserve">  </w:t>
            </w:r>
            <w:r w:rsidRPr="00035DE2">
              <w:rPr>
                <w:rFonts w:ascii="Times New Roman" w:hAnsi="Times New Roman" w:cs="Times New Roman"/>
                <w:b/>
                <w:bCs/>
                <w:iCs/>
                <w:sz w:val="20"/>
                <w:szCs w:val="20"/>
                <w:shd w:val="clear" w:color="auto" w:fill="FFFFFF"/>
                <w:lang w:val="ru-RU"/>
              </w:rPr>
              <w:t>№  Примітки</w:t>
            </w:r>
          </w:p>
        </w:tc>
        <w:tc>
          <w:tcPr>
            <w:tcW w:w="1090" w:type="dxa"/>
            <w:gridSpan w:val="2"/>
            <w:tcMar>
              <w:top w:w="0" w:type="dxa"/>
              <w:left w:w="108" w:type="dxa"/>
              <w:bottom w:w="0" w:type="dxa"/>
              <w:right w:w="108" w:type="dxa"/>
            </w:tcMar>
            <w:vAlign w:val="center"/>
          </w:tcPr>
          <w:p w:rsidR="0043703D" w:rsidRPr="00035DE2" w:rsidRDefault="0043703D" w:rsidP="00720D77">
            <w:pPr>
              <w:pStyle w:val="15"/>
              <w:rPr>
                <w:sz w:val="20"/>
                <w:szCs w:val="20"/>
                <w:shd w:val="clear" w:color="auto" w:fill="FFFFFF"/>
                <w:lang w:val="uk-UA" w:eastAsia="en-US"/>
              </w:rPr>
            </w:pPr>
            <w:r w:rsidRPr="00035DE2">
              <w:rPr>
                <w:sz w:val="20"/>
                <w:szCs w:val="20"/>
                <w:shd w:val="clear" w:color="auto" w:fill="FFFFFF"/>
                <w:lang w:val="uk-UA" w:eastAsia="en-US"/>
              </w:rPr>
              <w:t xml:space="preserve">   201</w:t>
            </w:r>
            <w:r w:rsidR="00720D77">
              <w:rPr>
                <w:sz w:val="20"/>
                <w:szCs w:val="20"/>
                <w:shd w:val="clear" w:color="auto" w:fill="FFFFFF"/>
                <w:lang w:val="uk-UA" w:eastAsia="en-US"/>
              </w:rPr>
              <w:t>9</w:t>
            </w:r>
            <w:r w:rsidRPr="00035DE2">
              <w:rPr>
                <w:sz w:val="20"/>
                <w:szCs w:val="20"/>
                <w:shd w:val="clear" w:color="auto" w:fill="FFFFFF"/>
                <w:lang w:val="uk-UA" w:eastAsia="en-US"/>
              </w:rPr>
              <w:t>рік</w:t>
            </w:r>
          </w:p>
        </w:tc>
        <w:tc>
          <w:tcPr>
            <w:tcW w:w="1494" w:type="dxa"/>
            <w:tcMar>
              <w:top w:w="0" w:type="dxa"/>
              <w:left w:w="108" w:type="dxa"/>
              <w:bottom w:w="0" w:type="dxa"/>
              <w:right w:w="108" w:type="dxa"/>
            </w:tcMar>
            <w:vAlign w:val="center"/>
          </w:tcPr>
          <w:p w:rsidR="0043703D" w:rsidRDefault="0043703D" w:rsidP="00720D77">
            <w:pPr>
              <w:pStyle w:val="15"/>
              <w:rPr>
                <w:sz w:val="20"/>
                <w:szCs w:val="20"/>
                <w:shd w:val="clear" w:color="auto" w:fill="FFFFFF"/>
                <w:lang w:val="uk-UA" w:eastAsia="en-US"/>
              </w:rPr>
            </w:pPr>
            <w:r>
              <w:rPr>
                <w:sz w:val="20"/>
                <w:szCs w:val="20"/>
                <w:shd w:val="clear" w:color="auto" w:fill="FFFFFF"/>
                <w:lang w:val="uk-UA" w:eastAsia="en-US"/>
              </w:rPr>
              <w:t>201</w:t>
            </w:r>
            <w:r w:rsidR="00720D77">
              <w:rPr>
                <w:sz w:val="20"/>
                <w:szCs w:val="20"/>
                <w:shd w:val="clear" w:color="auto" w:fill="FFFFFF"/>
                <w:lang w:val="uk-UA" w:eastAsia="en-US"/>
              </w:rPr>
              <w:t>8</w:t>
            </w:r>
            <w:r>
              <w:rPr>
                <w:sz w:val="20"/>
                <w:szCs w:val="20"/>
                <w:shd w:val="clear" w:color="auto" w:fill="FFFFFF"/>
                <w:lang w:val="uk-UA" w:eastAsia="en-US"/>
              </w:rPr>
              <w:t xml:space="preserve"> рік</w:t>
            </w:r>
          </w:p>
        </w:tc>
        <w:tc>
          <w:tcPr>
            <w:tcW w:w="1494" w:type="dxa"/>
            <w:tcMar>
              <w:top w:w="0" w:type="dxa"/>
              <w:left w:w="108" w:type="dxa"/>
              <w:bottom w:w="0" w:type="dxa"/>
              <w:right w:w="108" w:type="dxa"/>
            </w:tcMar>
            <w:vAlign w:val="center"/>
          </w:tcPr>
          <w:p w:rsidR="0043703D" w:rsidRDefault="0043703D" w:rsidP="007E7EBF">
            <w:pPr>
              <w:pStyle w:val="15"/>
              <w:rPr>
                <w:sz w:val="20"/>
                <w:szCs w:val="20"/>
                <w:shd w:val="clear" w:color="auto" w:fill="FFFFFF"/>
                <w:lang w:val="uk-UA" w:eastAsia="en-US"/>
              </w:rPr>
            </w:pPr>
          </w:p>
        </w:tc>
      </w:tr>
      <w:tr w:rsidR="0043703D" w:rsidTr="0097036C">
        <w:trPr>
          <w:trHeight w:val="20"/>
        </w:trPr>
        <w:tc>
          <w:tcPr>
            <w:tcW w:w="6018" w:type="dxa"/>
            <w:tcBorders>
              <w:top w:val="single" w:sz="4" w:space="0" w:color="000000"/>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                Рух коштів у результаті операційної </w:t>
            </w:r>
            <w:r>
              <w:t xml:space="preserve"> </w:t>
            </w:r>
            <w:r>
              <w:rPr>
                <w:rFonts w:ascii="Times New Roman" w:hAnsi="Times New Roman" w:cs="Times New Roman"/>
                <w:b/>
                <w:bCs/>
                <w:sz w:val="20"/>
                <w:szCs w:val="20"/>
                <w:shd w:val="clear" w:color="auto" w:fill="FFFFFF"/>
              </w:rPr>
              <w:t>діяльності</w:t>
            </w:r>
          </w:p>
        </w:tc>
        <w:tc>
          <w:tcPr>
            <w:tcW w:w="536" w:type="dxa"/>
            <w:tcBorders>
              <w:top w:val="single" w:sz="4" w:space="0" w:color="000000"/>
              <w:left w:val="single" w:sz="4" w:space="0" w:color="000000"/>
            </w:tcBorders>
            <w:tcMar>
              <w:top w:w="0" w:type="dxa"/>
              <w:left w:w="10" w:type="dxa"/>
              <w:bottom w:w="0" w:type="dxa"/>
              <w:right w:w="10" w:type="dxa"/>
            </w:tcMar>
            <w:vAlign w:val="center"/>
          </w:tcPr>
          <w:p w:rsidR="0043703D" w:rsidRPr="00A06C1C" w:rsidRDefault="0043703D" w:rsidP="007E7EBF">
            <w:pPr>
              <w:pStyle w:val="Standard"/>
              <w:rPr>
                <w:rFonts w:ascii="Times New Roman" w:hAnsi="Times New Roman" w:cs="Times New Roman"/>
                <w:b/>
                <w:bCs/>
                <w:sz w:val="20"/>
                <w:szCs w:val="20"/>
                <w:shd w:val="clear" w:color="auto" w:fill="FFFFFF"/>
                <w:lang w:val="ru-RU"/>
              </w:rPr>
            </w:pPr>
            <w:r w:rsidRPr="00A06C1C">
              <w:rPr>
                <w:rFonts w:ascii="Times New Roman" w:hAnsi="Times New Roman" w:cs="Times New Roman"/>
                <w:bCs/>
                <w:sz w:val="20"/>
                <w:szCs w:val="20"/>
                <w:shd w:val="clear" w:color="auto" w:fill="FFFFFF"/>
                <w:lang w:val="ru-RU"/>
              </w:rPr>
              <w:t>3.4.1</w:t>
            </w: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rPr>
                <w:rFonts w:ascii="Times New Roman" w:hAnsi="Times New Roman" w:cs="Times New Roman"/>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sz w:val="20"/>
                <w:szCs w:val="20"/>
                <w:shd w:val="clear" w:color="auto" w:fill="FFFFFF"/>
              </w:rPr>
            </w:pPr>
          </w:p>
        </w:tc>
        <w:tc>
          <w:tcPr>
            <w:tcW w:w="1494" w:type="dxa"/>
            <w:shd w:val="clear" w:color="auto" w:fill="FFFFFF"/>
            <w:tcMar>
              <w:top w:w="0" w:type="dxa"/>
              <w:left w:w="108" w:type="dxa"/>
              <w:bottom w:w="0" w:type="dxa"/>
              <w:right w:w="108" w:type="dxa"/>
            </w:tcMar>
          </w:tcPr>
          <w:p w:rsidR="0043703D" w:rsidRDefault="0043703D" w:rsidP="007E7EBF">
            <w:pPr>
              <w:pStyle w:val="Standard"/>
              <w:rPr>
                <w:sz w:val="20"/>
                <w:szCs w:val="20"/>
                <w:shd w:val="clear" w:color="auto" w:fill="FFFFFF"/>
                <w:lang w:eastAsia="en-US"/>
              </w:rPr>
            </w:pPr>
          </w:p>
        </w:tc>
        <w:tc>
          <w:tcPr>
            <w:tcW w:w="1494" w:type="dxa"/>
            <w:tcMar>
              <w:top w:w="0" w:type="dxa"/>
              <w:left w:w="108" w:type="dxa"/>
              <w:bottom w:w="0" w:type="dxa"/>
              <w:right w:w="108" w:type="dxa"/>
            </w:tcMar>
          </w:tcPr>
          <w:p w:rsidR="0043703D" w:rsidRDefault="0043703D" w:rsidP="007E7EBF">
            <w:pPr>
              <w:pStyle w:val="Standard"/>
              <w:rPr>
                <w:rFonts w:ascii="Times New Roman" w:hAnsi="Times New Roman" w:cs="Times New Roman"/>
                <w:b/>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Надходження від:</w:t>
            </w:r>
          </w:p>
          <w:p w:rsidR="0043703D" w:rsidRDefault="0043703D" w:rsidP="007E7EBF">
            <w:pPr>
              <w:pStyle w:val="Standard"/>
              <w:widowControl w:val="0"/>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Реалізації продукції (товарів, робіт, послуг)</w:t>
            </w:r>
          </w:p>
          <w:p w:rsidR="0043703D" w:rsidRDefault="0043703D" w:rsidP="0097036C">
            <w:pPr>
              <w:pStyle w:val="Standard"/>
              <w:widowControl w:val="0"/>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p>
        </w:tc>
        <w:tc>
          <w:tcPr>
            <w:tcW w:w="536" w:type="dxa"/>
            <w:tcBorders>
              <w:left w:val="single" w:sz="4" w:space="0" w:color="000000"/>
            </w:tcBorders>
            <w:tcMar>
              <w:top w:w="0" w:type="dxa"/>
              <w:left w:w="10" w:type="dxa"/>
              <w:bottom w:w="0" w:type="dxa"/>
              <w:right w:w="10" w:type="dxa"/>
            </w:tcMar>
            <w:vAlign w:val="center"/>
          </w:tcPr>
          <w:p w:rsidR="0043703D" w:rsidRDefault="0043703D" w:rsidP="007E7EBF">
            <w:pPr>
              <w:pStyle w:val="13"/>
              <w:rPr>
                <w:rFonts w:ascii="Times New Roman" w:eastAsia="Courier New" w:hAnsi="Times New Roman" w:cs="Times New Roman"/>
                <w:color w:val="000000"/>
                <w:sz w:val="20"/>
                <w:szCs w:val="20"/>
                <w:shd w:val="clear" w:color="auto" w:fill="FFFFFF"/>
                <w:lang w:val="uk-UA" w:eastAsia="uk-UA"/>
              </w:rPr>
            </w:pPr>
          </w:p>
          <w:p w:rsidR="0043703D" w:rsidRDefault="0043703D" w:rsidP="007E7EBF">
            <w:pPr>
              <w:pStyle w:val="Standard"/>
              <w:rPr>
                <w:rFonts w:ascii="Times New Roman" w:hAnsi="Times New Roman" w:cs="Times New Roman"/>
                <w:sz w:val="20"/>
                <w:szCs w:val="20"/>
                <w:shd w:val="clear" w:color="auto" w:fill="FFFFFF"/>
              </w:rPr>
            </w:pP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center"/>
          </w:tcPr>
          <w:p w:rsidR="0043703D" w:rsidRPr="0097036C" w:rsidRDefault="0097036C" w:rsidP="00720D77">
            <w:pPr>
              <w:pStyle w:val="Standard"/>
              <w:widowControl w:val="0"/>
              <w:jc w:val="center"/>
              <w:rPr>
                <w:rFonts w:ascii="Times New Roman" w:hAnsi="Times New Roman" w:cs="Times New Roman"/>
                <w:sz w:val="20"/>
                <w:szCs w:val="20"/>
                <w:shd w:val="clear" w:color="auto" w:fill="FFFFFF"/>
                <w:lang w:val="ru-RU"/>
              </w:rPr>
            </w:pPr>
            <w:r>
              <w:rPr>
                <w:rFonts w:ascii="Times New Roman" w:hAnsi="Times New Roman" w:cs="Times New Roman"/>
                <w:sz w:val="20"/>
                <w:szCs w:val="20"/>
                <w:shd w:val="clear" w:color="auto" w:fill="FFFFFF"/>
                <w:lang w:val="ru-RU"/>
              </w:rPr>
              <w:t>24</w:t>
            </w:r>
            <w:r w:rsidR="00720D77">
              <w:rPr>
                <w:rFonts w:ascii="Times New Roman" w:hAnsi="Times New Roman" w:cs="Times New Roman"/>
                <w:sz w:val="20"/>
                <w:szCs w:val="20"/>
                <w:shd w:val="clear" w:color="auto" w:fill="FFFFFF"/>
                <w:lang w:val="ru-RU"/>
              </w:rPr>
              <w:t>63</w:t>
            </w:r>
          </w:p>
        </w:tc>
        <w:tc>
          <w:tcPr>
            <w:tcW w:w="1494" w:type="dxa"/>
            <w:tcMar>
              <w:top w:w="0" w:type="dxa"/>
              <w:left w:w="108" w:type="dxa"/>
              <w:bottom w:w="0" w:type="dxa"/>
              <w:right w:w="108" w:type="dxa"/>
            </w:tcMar>
            <w:vAlign w:val="center"/>
          </w:tcPr>
          <w:p w:rsidR="0043703D" w:rsidRDefault="00720D77" w:rsidP="0097036C">
            <w:pPr>
              <w:pStyle w:val="15"/>
              <w:rPr>
                <w:b w:val="0"/>
                <w:bCs w:val="0"/>
                <w:sz w:val="20"/>
                <w:szCs w:val="20"/>
                <w:shd w:val="clear" w:color="auto" w:fill="FFFFFF"/>
                <w:lang w:val="uk-UA" w:eastAsia="en-US"/>
              </w:rPr>
            </w:pPr>
            <w:r>
              <w:rPr>
                <w:b w:val="0"/>
                <w:bCs w:val="0"/>
                <w:sz w:val="20"/>
                <w:szCs w:val="20"/>
                <w:shd w:val="clear" w:color="auto" w:fill="FFFFFF"/>
                <w:lang w:val="uk-UA" w:eastAsia="en-US"/>
              </w:rPr>
              <w:t>2478</w:t>
            </w:r>
          </w:p>
        </w:tc>
        <w:tc>
          <w:tcPr>
            <w:tcW w:w="1494" w:type="dxa"/>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Надходження від повернення авансів</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rPr>
                <w:rFonts w:ascii="Times New Roman" w:hAnsi="Times New Roman" w:cs="Times New Roman"/>
                <w:sz w:val="20"/>
                <w:szCs w:val="20"/>
                <w:shd w:val="clear" w:color="auto" w:fill="FFFFFF"/>
              </w:rPr>
            </w:pPr>
          </w:p>
        </w:tc>
        <w:tc>
          <w:tcPr>
            <w:tcW w:w="236" w:type="dxa"/>
            <w:tcBorders>
              <w:right w:val="single" w:sz="4" w:space="0" w:color="000000"/>
            </w:tcBorders>
            <w:tcMar>
              <w:top w:w="0" w:type="dxa"/>
              <w:left w:w="108" w:type="dxa"/>
              <w:bottom w:w="0" w:type="dxa"/>
              <w:right w:w="108" w:type="dxa"/>
            </w:tcMar>
            <w:vAlign w:val="bottom"/>
          </w:tcPr>
          <w:p w:rsidR="0043703D" w:rsidRDefault="0043703D" w:rsidP="007E7EBF">
            <w:pPr>
              <w:pStyle w:val="Standard"/>
              <w:widowControl w:val="0"/>
              <w:jc w:val="center"/>
              <w:rPr>
                <w:rFonts w:ascii="Times New Roman" w:hAnsi="Times New Roman" w:cs="Times New Roman"/>
                <w:bCs/>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bottom"/>
          </w:tcPr>
          <w:p w:rsidR="0043703D" w:rsidRPr="00DA355A" w:rsidRDefault="00DA355A" w:rsidP="00720D77">
            <w:pPr>
              <w:pStyle w:val="Standard"/>
              <w:widowControl w:val="0"/>
              <w:jc w:val="center"/>
              <w:rPr>
                <w:rFonts w:ascii="Times New Roman" w:hAnsi="Times New Roman" w:cs="Times New Roman"/>
                <w:bCs/>
                <w:sz w:val="20"/>
                <w:szCs w:val="20"/>
                <w:shd w:val="clear" w:color="auto" w:fill="FFFFFF"/>
                <w:lang w:val="ru-RU"/>
              </w:rPr>
            </w:pPr>
            <w:r>
              <w:rPr>
                <w:rFonts w:ascii="Times New Roman" w:hAnsi="Times New Roman" w:cs="Times New Roman"/>
                <w:bCs/>
                <w:sz w:val="20"/>
                <w:szCs w:val="20"/>
                <w:shd w:val="clear" w:color="auto" w:fill="FFFFFF"/>
                <w:lang w:val="ru-RU"/>
              </w:rPr>
              <w:t>88</w:t>
            </w:r>
            <w:r w:rsidR="00720D77">
              <w:rPr>
                <w:rFonts w:ascii="Times New Roman" w:hAnsi="Times New Roman" w:cs="Times New Roman"/>
                <w:bCs/>
                <w:sz w:val="20"/>
                <w:szCs w:val="20"/>
                <w:shd w:val="clear" w:color="auto" w:fill="FFFFFF"/>
                <w:lang w:val="ru-RU"/>
              </w:rPr>
              <w:t>63</w:t>
            </w:r>
          </w:p>
        </w:tc>
        <w:tc>
          <w:tcPr>
            <w:tcW w:w="1494" w:type="dxa"/>
            <w:tcMar>
              <w:top w:w="0" w:type="dxa"/>
              <w:left w:w="108" w:type="dxa"/>
              <w:bottom w:w="0" w:type="dxa"/>
              <w:right w:w="108" w:type="dxa"/>
            </w:tcMar>
          </w:tcPr>
          <w:p w:rsidR="0043703D" w:rsidRDefault="00720D77" w:rsidP="007E7EBF">
            <w:pPr>
              <w:pStyle w:val="15"/>
              <w:rPr>
                <w:b w:val="0"/>
                <w:bCs w:val="0"/>
                <w:sz w:val="20"/>
                <w:szCs w:val="20"/>
                <w:shd w:val="clear" w:color="auto" w:fill="FFFFFF"/>
                <w:lang w:val="uk-UA" w:eastAsia="en-US"/>
              </w:rPr>
            </w:pPr>
            <w:r>
              <w:rPr>
                <w:b w:val="0"/>
                <w:bCs w:val="0"/>
                <w:sz w:val="20"/>
                <w:szCs w:val="20"/>
                <w:shd w:val="clear" w:color="auto" w:fill="FFFFFF"/>
                <w:lang w:val="uk-UA" w:eastAsia="en-US"/>
              </w:rPr>
              <w:t>8858</w:t>
            </w:r>
          </w:p>
        </w:tc>
        <w:tc>
          <w:tcPr>
            <w:tcW w:w="1494" w:type="dxa"/>
            <w:tcMar>
              <w:top w:w="0" w:type="dxa"/>
              <w:left w:w="108" w:type="dxa"/>
              <w:bottom w:w="0" w:type="dxa"/>
              <w:right w:w="108" w:type="dxa"/>
            </w:tcMar>
            <w:vAlign w:val="bottom"/>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Інші надходження</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rPr>
                <w:rFonts w:ascii="Times New Roman" w:hAnsi="Times New Roman" w:cs="Times New Roman"/>
                <w:sz w:val="20"/>
                <w:szCs w:val="20"/>
                <w:shd w:val="clear" w:color="auto" w:fill="FFFFFF"/>
              </w:rPr>
            </w:pPr>
          </w:p>
        </w:tc>
        <w:tc>
          <w:tcPr>
            <w:tcW w:w="236" w:type="dxa"/>
            <w:tcBorders>
              <w:right w:val="single" w:sz="4" w:space="0" w:color="000000"/>
            </w:tcBorders>
            <w:tcMar>
              <w:top w:w="0" w:type="dxa"/>
              <w:left w:w="108" w:type="dxa"/>
              <w:bottom w:w="0" w:type="dxa"/>
              <w:right w:w="108" w:type="dxa"/>
            </w:tcMar>
            <w:vAlign w:val="bottom"/>
          </w:tcPr>
          <w:p w:rsidR="0043703D" w:rsidRDefault="0043703D" w:rsidP="007E7EBF">
            <w:pPr>
              <w:pStyle w:val="Standard"/>
              <w:widowControl w:val="0"/>
              <w:jc w:val="center"/>
              <w:rPr>
                <w:rFonts w:ascii="Times New Roman" w:hAnsi="Times New Roman" w:cs="Times New Roman"/>
                <w:bCs/>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bottom"/>
          </w:tcPr>
          <w:p w:rsidR="0043703D" w:rsidRDefault="0043703D" w:rsidP="007E7EBF">
            <w:pPr>
              <w:pStyle w:val="Standard"/>
              <w:widowControl w:val="0"/>
              <w:jc w:val="center"/>
              <w:rPr>
                <w:rFonts w:ascii="Times New Roman" w:hAnsi="Times New Roman" w:cs="Times New Roman"/>
                <w:bCs/>
                <w:sz w:val="20"/>
                <w:szCs w:val="20"/>
                <w:shd w:val="clear" w:color="auto" w:fill="FFFFFF"/>
              </w:rPr>
            </w:pPr>
          </w:p>
        </w:tc>
        <w:tc>
          <w:tcPr>
            <w:tcW w:w="1494" w:type="dxa"/>
            <w:tcMar>
              <w:top w:w="0" w:type="dxa"/>
              <w:left w:w="108" w:type="dxa"/>
              <w:bottom w:w="0" w:type="dxa"/>
              <w:right w:w="108" w:type="dxa"/>
            </w:tcMar>
          </w:tcPr>
          <w:p w:rsidR="0043703D" w:rsidRDefault="0043703D" w:rsidP="007E7EBF">
            <w:pPr>
              <w:pStyle w:val="15"/>
              <w:rPr>
                <w:b w:val="0"/>
                <w:bCs w:val="0"/>
                <w:sz w:val="20"/>
                <w:szCs w:val="20"/>
                <w:shd w:val="clear" w:color="auto" w:fill="FFFFFF"/>
                <w:lang w:val="uk-UA" w:eastAsia="en-US"/>
              </w:rPr>
            </w:pPr>
          </w:p>
        </w:tc>
        <w:tc>
          <w:tcPr>
            <w:tcW w:w="1494" w:type="dxa"/>
            <w:tcMar>
              <w:top w:w="0" w:type="dxa"/>
              <w:left w:w="108" w:type="dxa"/>
              <w:bottom w:w="0" w:type="dxa"/>
              <w:right w:w="108" w:type="dxa"/>
            </w:tcMar>
            <w:vAlign w:val="bottom"/>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ind w:left="459" w:hanging="283"/>
            </w:pPr>
            <w:r>
              <w:rPr>
                <w:rStyle w:val="14"/>
                <w:rFonts w:ascii="Times New Roman" w:hAnsi="Times New Roman" w:cs="Times New Roman"/>
                <w:b/>
                <w:sz w:val="20"/>
                <w:szCs w:val="20"/>
              </w:rPr>
              <w:t xml:space="preserve">                 </w:t>
            </w:r>
            <w:r>
              <w:rPr>
                <w:rStyle w:val="14"/>
                <w:rFonts w:ascii="Times New Roman" w:hAnsi="Times New Roman" w:cs="Times New Roman"/>
                <w:sz w:val="20"/>
                <w:szCs w:val="20"/>
              </w:rPr>
              <w:t>Витрачання на оплату:</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pP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c>
          <w:tcPr>
            <w:tcW w:w="1494" w:type="dxa"/>
            <w:shd w:val="clear" w:color="auto" w:fill="FFFFFF"/>
            <w:tcMar>
              <w:top w:w="0" w:type="dxa"/>
              <w:left w:w="108" w:type="dxa"/>
              <w:bottom w:w="0" w:type="dxa"/>
              <w:right w:w="108" w:type="dxa"/>
            </w:tcMar>
          </w:tcPr>
          <w:p w:rsidR="0043703D" w:rsidRDefault="0043703D" w:rsidP="007E7EBF">
            <w:pPr>
              <w:pStyle w:val="Standard"/>
              <w:rPr>
                <w:b/>
                <w:bCs/>
                <w:sz w:val="20"/>
                <w:szCs w:val="20"/>
                <w:shd w:val="clear" w:color="auto" w:fill="FFFFFF"/>
                <w:lang w:eastAsia="en-US"/>
              </w:rPr>
            </w:pPr>
          </w:p>
        </w:tc>
        <w:tc>
          <w:tcPr>
            <w:tcW w:w="1494" w:type="dxa"/>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widowControl w:val="0"/>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Товарів (робіт, послуг)</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rPr>
                <w:rFonts w:ascii="Times New Roman" w:hAnsi="Times New Roman" w:cs="Times New Roman"/>
                <w:sz w:val="20"/>
                <w:szCs w:val="20"/>
                <w:shd w:val="clear" w:color="auto" w:fill="FFFFFF"/>
              </w:rPr>
            </w:pP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Cs/>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center"/>
          </w:tcPr>
          <w:p w:rsidR="0043703D" w:rsidRPr="00DA355A" w:rsidRDefault="00DA355A" w:rsidP="00720D77">
            <w:pPr>
              <w:pStyle w:val="Standard"/>
              <w:widowControl w:val="0"/>
              <w:jc w:val="center"/>
              <w:rPr>
                <w:rFonts w:ascii="Times New Roman" w:hAnsi="Times New Roman" w:cs="Times New Roman"/>
                <w:bCs/>
                <w:sz w:val="20"/>
                <w:szCs w:val="20"/>
                <w:shd w:val="clear" w:color="auto" w:fill="FFFFFF"/>
                <w:lang w:val="ru-RU"/>
              </w:rPr>
            </w:pPr>
            <w:r>
              <w:rPr>
                <w:rFonts w:ascii="Times New Roman" w:hAnsi="Times New Roman" w:cs="Times New Roman"/>
                <w:bCs/>
                <w:sz w:val="20"/>
                <w:szCs w:val="20"/>
                <w:shd w:val="clear" w:color="auto" w:fill="FFFFFF"/>
                <w:lang w:val="ru-RU"/>
              </w:rPr>
              <w:t>21</w:t>
            </w:r>
            <w:r w:rsidR="00720D77">
              <w:rPr>
                <w:rFonts w:ascii="Times New Roman" w:hAnsi="Times New Roman" w:cs="Times New Roman"/>
                <w:bCs/>
                <w:sz w:val="20"/>
                <w:szCs w:val="20"/>
                <w:shd w:val="clear" w:color="auto" w:fill="FFFFFF"/>
                <w:lang w:val="ru-RU"/>
              </w:rPr>
              <w:t>43</w:t>
            </w:r>
          </w:p>
        </w:tc>
        <w:tc>
          <w:tcPr>
            <w:tcW w:w="1494" w:type="dxa"/>
            <w:shd w:val="clear" w:color="auto" w:fill="FFFFFF"/>
            <w:tcMar>
              <w:top w:w="0" w:type="dxa"/>
              <w:left w:w="108" w:type="dxa"/>
              <w:bottom w:w="0" w:type="dxa"/>
              <w:right w:w="108" w:type="dxa"/>
            </w:tcMar>
          </w:tcPr>
          <w:p w:rsidR="0043703D" w:rsidRDefault="00720D77" w:rsidP="007E7EBF">
            <w:pPr>
              <w:pStyle w:val="15"/>
              <w:rPr>
                <w:b w:val="0"/>
                <w:bCs w:val="0"/>
                <w:sz w:val="20"/>
                <w:szCs w:val="20"/>
                <w:shd w:val="clear" w:color="auto" w:fill="FFFFFF"/>
                <w:lang w:val="uk-UA" w:eastAsia="en-US"/>
              </w:rPr>
            </w:pPr>
            <w:r>
              <w:rPr>
                <w:b w:val="0"/>
                <w:bCs w:val="0"/>
                <w:sz w:val="20"/>
                <w:szCs w:val="20"/>
                <w:shd w:val="clear" w:color="auto" w:fill="FFFFFF"/>
                <w:lang w:val="uk-UA" w:eastAsia="en-US"/>
              </w:rPr>
              <w:t>2128</w:t>
            </w:r>
          </w:p>
        </w:tc>
        <w:tc>
          <w:tcPr>
            <w:tcW w:w="1494" w:type="dxa"/>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66"/>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widowControl w:val="0"/>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Праці</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rPr>
                <w:rFonts w:ascii="Times New Roman" w:hAnsi="Times New Roman" w:cs="Times New Roman"/>
                <w:sz w:val="20"/>
                <w:szCs w:val="20"/>
                <w:shd w:val="clear" w:color="auto" w:fill="FFFFFF"/>
              </w:rPr>
            </w:pP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Cs/>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center"/>
          </w:tcPr>
          <w:p w:rsidR="0043703D" w:rsidRPr="00DA355A" w:rsidRDefault="00DA355A" w:rsidP="00720D77">
            <w:pPr>
              <w:pStyle w:val="Standard"/>
              <w:widowControl w:val="0"/>
              <w:jc w:val="center"/>
              <w:rPr>
                <w:rFonts w:ascii="Times New Roman" w:hAnsi="Times New Roman" w:cs="Times New Roman"/>
                <w:bCs/>
                <w:sz w:val="20"/>
                <w:szCs w:val="20"/>
                <w:shd w:val="clear" w:color="auto" w:fill="FFFFFF"/>
                <w:lang w:val="ru-RU"/>
              </w:rPr>
            </w:pPr>
            <w:r>
              <w:rPr>
                <w:rFonts w:ascii="Times New Roman" w:hAnsi="Times New Roman" w:cs="Times New Roman"/>
                <w:bCs/>
                <w:sz w:val="20"/>
                <w:szCs w:val="20"/>
                <w:shd w:val="clear" w:color="auto" w:fill="FFFFFF"/>
                <w:lang w:val="ru-RU"/>
              </w:rPr>
              <w:t>21</w:t>
            </w:r>
            <w:r w:rsidR="00720D77">
              <w:rPr>
                <w:rFonts w:ascii="Times New Roman" w:hAnsi="Times New Roman" w:cs="Times New Roman"/>
                <w:bCs/>
                <w:sz w:val="20"/>
                <w:szCs w:val="20"/>
                <w:shd w:val="clear" w:color="auto" w:fill="FFFFFF"/>
                <w:lang w:val="ru-RU"/>
              </w:rPr>
              <w:t>3</w:t>
            </w:r>
          </w:p>
        </w:tc>
        <w:tc>
          <w:tcPr>
            <w:tcW w:w="1494" w:type="dxa"/>
            <w:shd w:val="clear" w:color="auto" w:fill="FFFFFF"/>
            <w:tcMar>
              <w:top w:w="0" w:type="dxa"/>
              <w:left w:w="108" w:type="dxa"/>
              <w:bottom w:w="0" w:type="dxa"/>
              <w:right w:w="108" w:type="dxa"/>
            </w:tcMar>
          </w:tcPr>
          <w:p w:rsidR="0043703D" w:rsidRDefault="00DA355A" w:rsidP="00720D77">
            <w:pPr>
              <w:pStyle w:val="15"/>
              <w:rPr>
                <w:b w:val="0"/>
                <w:bCs w:val="0"/>
                <w:sz w:val="20"/>
                <w:szCs w:val="20"/>
                <w:shd w:val="clear" w:color="auto" w:fill="FFFFFF"/>
                <w:lang w:val="uk-UA" w:eastAsia="en-US"/>
              </w:rPr>
            </w:pPr>
            <w:r>
              <w:rPr>
                <w:b w:val="0"/>
                <w:bCs w:val="0"/>
                <w:sz w:val="20"/>
                <w:szCs w:val="20"/>
                <w:shd w:val="clear" w:color="auto" w:fill="FFFFFF"/>
                <w:lang w:val="uk-UA" w:eastAsia="en-US"/>
              </w:rPr>
              <w:t>2</w:t>
            </w:r>
            <w:r w:rsidR="00720D77">
              <w:rPr>
                <w:b w:val="0"/>
                <w:bCs w:val="0"/>
                <w:sz w:val="20"/>
                <w:szCs w:val="20"/>
                <w:shd w:val="clear" w:color="auto" w:fill="FFFFFF"/>
                <w:lang w:val="uk-UA" w:eastAsia="en-US"/>
              </w:rPr>
              <w:t>21</w:t>
            </w:r>
          </w:p>
        </w:tc>
        <w:tc>
          <w:tcPr>
            <w:tcW w:w="1494" w:type="dxa"/>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Відрахування на соціальні заходи</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rPr>
                <w:rFonts w:ascii="Times New Roman" w:hAnsi="Times New Roman" w:cs="Times New Roman"/>
                <w:sz w:val="20"/>
                <w:szCs w:val="20"/>
                <w:shd w:val="clear" w:color="auto" w:fill="FFFFFF"/>
              </w:rPr>
            </w:pP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Cs/>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center"/>
          </w:tcPr>
          <w:p w:rsidR="0043703D" w:rsidRPr="00DA355A" w:rsidRDefault="00720D77" w:rsidP="007E7EBF">
            <w:pPr>
              <w:pStyle w:val="Standard"/>
              <w:widowControl w:val="0"/>
              <w:jc w:val="center"/>
              <w:rPr>
                <w:rFonts w:ascii="Times New Roman" w:hAnsi="Times New Roman" w:cs="Times New Roman"/>
                <w:bCs/>
                <w:sz w:val="20"/>
                <w:szCs w:val="20"/>
                <w:shd w:val="clear" w:color="auto" w:fill="FFFFFF"/>
                <w:lang w:val="ru-RU"/>
              </w:rPr>
            </w:pPr>
            <w:r>
              <w:rPr>
                <w:rFonts w:ascii="Times New Roman" w:hAnsi="Times New Roman" w:cs="Times New Roman"/>
                <w:bCs/>
                <w:sz w:val="20"/>
                <w:szCs w:val="20"/>
                <w:shd w:val="clear" w:color="auto" w:fill="FFFFFF"/>
                <w:lang w:val="ru-RU"/>
              </w:rPr>
              <w:t>49</w:t>
            </w:r>
          </w:p>
        </w:tc>
        <w:tc>
          <w:tcPr>
            <w:tcW w:w="1494" w:type="dxa"/>
            <w:shd w:val="clear" w:color="auto" w:fill="FFFFFF"/>
            <w:tcMar>
              <w:top w:w="0" w:type="dxa"/>
              <w:left w:w="108" w:type="dxa"/>
              <w:bottom w:w="0" w:type="dxa"/>
              <w:right w:w="108" w:type="dxa"/>
            </w:tcMar>
          </w:tcPr>
          <w:p w:rsidR="0043703D" w:rsidRDefault="00720D77" w:rsidP="007E7EBF">
            <w:pPr>
              <w:pStyle w:val="15"/>
              <w:rPr>
                <w:b w:val="0"/>
                <w:bCs w:val="0"/>
                <w:sz w:val="20"/>
                <w:szCs w:val="20"/>
                <w:shd w:val="clear" w:color="auto" w:fill="FFFFFF"/>
                <w:lang w:val="uk-UA" w:eastAsia="en-US"/>
              </w:rPr>
            </w:pPr>
            <w:r>
              <w:rPr>
                <w:b w:val="0"/>
                <w:bCs w:val="0"/>
                <w:sz w:val="20"/>
                <w:szCs w:val="20"/>
                <w:shd w:val="clear" w:color="auto" w:fill="FFFFFF"/>
                <w:lang w:val="uk-UA" w:eastAsia="en-US"/>
              </w:rPr>
              <w:t>50</w:t>
            </w:r>
          </w:p>
        </w:tc>
        <w:tc>
          <w:tcPr>
            <w:tcW w:w="1494" w:type="dxa"/>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ind w:left="459" w:hanging="283"/>
            </w:pPr>
            <w:r>
              <w:rPr>
                <w:rStyle w:val="14"/>
                <w:rFonts w:ascii="Times New Roman" w:hAnsi="Times New Roman" w:cs="Times New Roman"/>
                <w:sz w:val="20"/>
                <w:szCs w:val="20"/>
              </w:rPr>
              <w:t xml:space="preserve">                 Зобов</w:t>
            </w:r>
            <w:r>
              <w:rPr>
                <w:rStyle w:val="14"/>
                <w:rFonts w:ascii="Times New Roman" w:hAnsi="Times New Roman" w:cs="Times New Roman"/>
                <w:sz w:val="20"/>
                <w:szCs w:val="20"/>
                <w:lang w:val="ru-RU"/>
              </w:rPr>
              <w:t>’</w:t>
            </w:r>
            <w:r>
              <w:rPr>
                <w:rStyle w:val="14"/>
                <w:rFonts w:ascii="Times New Roman" w:hAnsi="Times New Roman" w:cs="Times New Roman"/>
                <w:sz w:val="20"/>
                <w:szCs w:val="20"/>
              </w:rPr>
              <w:t>язань із податків і зборів, із них:</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pP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Cs/>
                <w:sz w:val="20"/>
                <w:szCs w:val="20"/>
                <w:shd w:val="clear" w:color="auto" w:fill="FFFFFF"/>
              </w:rPr>
            </w:pPr>
          </w:p>
        </w:tc>
        <w:tc>
          <w:tcPr>
            <w:tcW w:w="854" w:type="dxa"/>
            <w:tcBorders>
              <w:left w:val="single" w:sz="4" w:space="0" w:color="000000"/>
            </w:tcBorders>
            <w:tcMar>
              <w:top w:w="0" w:type="dxa"/>
              <w:left w:w="10" w:type="dxa"/>
              <w:bottom w:w="0" w:type="dxa"/>
              <w:right w:w="10" w:type="dxa"/>
            </w:tcMar>
            <w:vAlign w:val="center"/>
          </w:tcPr>
          <w:p w:rsidR="0043703D" w:rsidRPr="00DA355A" w:rsidRDefault="00720D77" w:rsidP="007E7EBF">
            <w:pPr>
              <w:pStyle w:val="Standard"/>
              <w:widowControl w:val="0"/>
              <w:jc w:val="center"/>
              <w:rPr>
                <w:rFonts w:ascii="Times New Roman" w:hAnsi="Times New Roman" w:cs="Times New Roman"/>
                <w:bCs/>
                <w:sz w:val="20"/>
                <w:szCs w:val="20"/>
                <w:shd w:val="clear" w:color="auto" w:fill="FFFFFF"/>
                <w:lang w:val="ru-RU"/>
              </w:rPr>
            </w:pPr>
            <w:r>
              <w:rPr>
                <w:rFonts w:ascii="Times New Roman" w:hAnsi="Times New Roman" w:cs="Times New Roman"/>
                <w:bCs/>
                <w:sz w:val="20"/>
                <w:szCs w:val="20"/>
                <w:shd w:val="clear" w:color="auto" w:fill="FFFFFF"/>
                <w:lang w:val="ru-RU"/>
              </w:rPr>
              <w:t>7</w:t>
            </w:r>
          </w:p>
        </w:tc>
        <w:tc>
          <w:tcPr>
            <w:tcW w:w="1494" w:type="dxa"/>
            <w:shd w:val="clear" w:color="auto" w:fill="FFFFFF"/>
            <w:tcMar>
              <w:top w:w="0" w:type="dxa"/>
              <w:left w:w="108" w:type="dxa"/>
              <w:bottom w:w="0" w:type="dxa"/>
              <w:right w:w="108" w:type="dxa"/>
            </w:tcMar>
          </w:tcPr>
          <w:p w:rsidR="0043703D" w:rsidRDefault="00DD20D0" w:rsidP="007E7EBF">
            <w:pPr>
              <w:pStyle w:val="15"/>
              <w:rPr>
                <w:b w:val="0"/>
                <w:bCs w:val="0"/>
                <w:sz w:val="20"/>
                <w:szCs w:val="20"/>
                <w:shd w:val="clear" w:color="auto" w:fill="FFFFFF"/>
                <w:lang w:val="uk-UA" w:eastAsia="en-US"/>
              </w:rPr>
            </w:pPr>
            <w:r>
              <w:rPr>
                <w:b w:val="0"/>
                <w:bCs w:val="0"/>
                <w:sz w:val="20"/>
                <w:szCs w:val="20"/>
                <w:shd w:val="clear" w:color="auto" w:fill="FFFFFF"/>
                <w:lang w:val="uk-UA" w:eastAsia="en-US"/>
              </w:rPr>
              <w:t>11</w:t>
            </w:r>
          </w:p>
        </w:tc>
        <w:tc>
          <w:tcPr>
            <w:tcW w:w="1494" w:type="dxa"/>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widowControl w:val="0"/>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Витрачення на оплату зобов`язань </w:t>
            </w:r>
            <w:r>
              <w:t xml:space="preserve"> </w:t>
            </w:r>
            <w:r>
              <w:rPr>
                <w:rFonts w:ascii="Times New Roman" w:hAnsi="Times New Roman" w:cs="Times New Roman"/>
                <w:sz w:val="20"/>
                <w:szCs w:val="20"/>
                <w:shd w:val="clear" w:color="auto" w:fill="FFFFFF"/>
              </w:rPr>
              <w:t>з податку на прибуток</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rPr>
                <w:rFonts w:ascii="Times New Roman" w:hAnsi="Times New Roman" w:cs="Times New Roman"/>
                <w:sz w:val="20"/>
                <w:szCs w:val="20"/>
                <w:shd w:val="clear" w:color="auto" w:fill="FFFFFF"/>
              </w:rPr>
            </w:pPr>
          </w:p>
        </w:tc>
        <w:tc>
          <w:tcPr>
            <w:tcW w:w="236" w:type="dxa"/>
            <w:tcBorders>
              <w:right w:val="single" w:sz="4" w:space="0" w:color="000000"/>
            </w:tcBorders>
            <w:shd w:val="clear" w:color="auto" w:fill="FFFFFF"/>
            <w:tcMar>
              <w:top w:w="0" w:type="dxa"/>
              <w:left w:w="108" w:type="dxa"/>
              <w:bottom w:w="0" w:type="dxa"/>
              <w:right w:w="108" w:type="dxa"/>
            </w:tcMar>
            <w:vAlign w:val="center"/>
          </w:tcPr>
          <w:p w:rsidR="0043703D" w:rsidRDefault="0043703D" w:rsidP="007E7EBF">
            <w:pPr>
              <w:pStyle w:val="Standard"/>
              <w:widowControl w:val="0"/>
              <w:jc w:val="center"/>
            </w:pPr>
          </w:p>
        </w:tc>
        <w:tc>
          <w:tcPr>
            <w:tcW w:w="854" w:type="dxa"/>
            <w:tcBorders>
              <w:left w:val="single" w:sz="4" w:space="0" w:color="000000"/>
            </w:tcBorders>
            <w:shd w:val="clear" w:color="auto" w:fill="FFFFFF"/>
            <w:tcMar>
              <w:top w:w="0" w:type="dxa"/>
              <w:left w:w="10" w:type="dxa"/>
              <w:bottom w:w="0" w:type="dxa"/>
              <w:right w:w="10" w:type="dxa"/>
            </w:tcMar>
            <w:vAlign w:val="center"/>
          </w:tcPr>
          <w:p w:rsidR="0043703D" w:rsidRPr="00DA355A" w:rsidRDefault="00DD20D0" w:rsidP="007E7EBF">
            <w:pPr>
              <w:pStyle w:val="Standard"/>
              <w:widowControl w:val="0"/>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494" w:type="dxa"/>
            <w:shd w:val="clear" w:color="auto" w:fill="FFFFFF"/>
            <w:tcMar>
              <w:top w:w="0" w:type="dxa"/>
              <w:left w:w="108" w:type="dxa"/>
              <w:bottom w:w="0" w:type="dxa"/>
              <w:right w:w="108" w:type="dxa"/>
            </w:tcMar>
          </w:tcPr>
          <w:p w:rsidR="0043703D" w:rsidRDefault="00DD20D0" w:rsidP="007E7EBF">
            <w:pPr>
              <w:pStyle w:val="15"/>
              <w:rPr>
                <w:b w:val="0"/>
                <w:bCs w:val="0"/>
                <w:sz w:val="20"/>
                <w:szCs w:val="20"/>
                <w:shd w:val="clear" w:color="auto" w:fill="FFFFFF"/>
                <w:lang w:val="uk-UA" w:eastAsia="en-US"/>
              </w:rPr>
            </w:pPr>
            <w:r>
              <w:rPr>
                <w:b w:val="0"/>
                <w:bCs w:val="0"/>
                <w:sz w:val="20"/>
                <w:szCs w:val="20"/>
                <w:shd w:val="clear" w:color="auto" w:fill="FFFFFF"/>
                <w:lang w:val="uk-UA" w:eastAsia="en-US"/>
              </w:rPr>
              <w:t>6</w:t>
            </w:r>
          </w:p>
        </w:tc>
        <w:tc>
          <w:tcPr>
            <w:tcW w:w="1494" w:type="dxa"/>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widowControl w:val="0"/>
              <w:ind w:left="459" w:hanging="283"/>
            </w:pPr>
            <w:r>
              <w:rPr>
                <w:rStyle w:val="14"/>
                <w:rFonts w:ascii="Times New Roman" w:hAnsi="Times New Roman" w:cs="Times New Roman"/>
                <w:sz w:val="20"/>
                <w:szCs w:val="20"/>
              </w:rPr>
              <w:t xml:space="preserve">         Витрачання на оплату  зобов</w:t>
            </w:r>
            <w:r>
              <w:rPr>
                <w:rStyle w:val="14"/>
                <w:rFonts w:ascii="Times New Roman" w:hAnsi="Times New Roman" w:cs="Times New Roman"/>
                <w:sz w:val="20"/>
                <w:szCs w:val="20"/>
                <w:lang w:val="ru-RU"/>
              </w:rPr>
              <w:t>’язань з інших податків і зборів</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pPr>
          </w:p>
        </w:tc>
        <w:tc>
          <w:tcPr>
            <w:tcW w:w="236" w:type="dxa"/>
            <w:tcBorders>
              <w:right w:val="single" w:sz="4" w:space="0" w:color="000000"/>
            </w:tcBorders>
            <w:shd w:val="clear" w:color="auto" w:fill="FFFFFF"/>
            <w:tcMar>
              <w:top w:w="0" w:type="dxa"/>
              <w:left w:w="108" w:type="dxa"/>
              <w:bottom w:w="0" w:type="dxa"/>
              <w:right w:w="108" w:type="dxa"/>
            </w:tcMar>
            <w:vAlign w:val="center"/>
          </w:tcPr>
          <w:p w:rsidR="0043703D" w:rsidRDefault="0043703D" w:rsidP="007E7EBF">
            <w:pPr>
              <w:pStyle w:val="Standard"/>
              <w:widowControl w:val="0"/>
              <w:jc w:val="center"/>
            </w:pPr>
          </w:p>
        </w:tc>
        <w:tc>
          <w:tcPr>
            <w:tcW w:w="854" w:type="dxa"/>
            <w:tcBorders>
              <w:left w:val="single" w:sz="4" w:space="0" w:color="000000"/>
            </w:tcBorders>
            <w:shd w:val="clear" w:color="auto" w:fill="FFFFFF"/>
            <w:tcMar>
              <w:top w:w="0" w:type="dxa"/>
              <w:left w:w="10" w:type="dxa"/>
              <w:bottom w:w="0" w:type="dxa"/>
              <w:right w:w="10" w:type="dxa"/>
            </w:tcMar>
            <w:vAlign w:val="center"/>
          </w:tcPr>
          <w:p w:rsidR="0043703D" w:rsidRPr="00DA355A" w:rsidRDefault="0043703D" w:rsidP="007E7EBF">
            <w:pPr>
              <w:pStyle w:val="Standard"/>
              <w:widowControl w:val="0"/>
              <w:jc w:val="center"/>
              <w:rPr>
                <w:rFonts w:ascii="Times New Roman" w:hAnsi="Times New Roman" w:cs="Times New Roman"/>
                <w:sz w:val="20"/>
                <w:szCs w:val="20"/>
              </w:rPr>
            </w:pPr>
          </w:p>
        </w:tc>
        <w:tc>
          <w:tcPr>
            <w:tcW w:w="1494" w:type="dxa"/>
            <w:shd w:val="clear" w:color="auto" w:fill="FFFFFF"/>
            <w:tcMar>
              <w:top w:w="0" w:type="dxa"/>
              <w:left w:w="108" w:type="dxa"/>
              <w:bottom w:w="0" w:type="dxa"/>
              <w:right w:w="108" w:type="dxa"/>
            </w:tcMar>
          </w:tcPr>
          <w:p w:rsidR="0043703D" w:rsidRDefault="0043703D" w:rsidP="007E7EBF">
            <w:pPr>
              <w:pStyle w:val="15"/>
              <w:rPr>
                <w:b w:val="0"/>
                <w:bCs w:val="0"/>
                <w:sz w:val="20"/>
                <w:szCs w:val="20"/>
                <w:shd w:val="clear" w:color="auto" w:fill="FFFFFF"/>
                <w:lang w:val="uk-UA" w:eastAsia="en-US"/>
              </w:rPr>
            </w:pPr>
          </w:p>
        </w:tc>
        <w:tc>
          <w:tcPr>
            <w:tcW w:w="1494" w:type="dxa"/>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right w:val="single" w:sz="4" w:space="0" w:color="000000"/>
            </w:tcBorders>
            <w:tcMar>
              <w:top w:w="0" w:type="dxa"/>
              <w:left w:w="108" w:type="dxa"/>
              <w:bottom w:w="0" w:type="dxa"/>
              <w:right w:w="108" w:type="dxa"/>
            </w:tcMar>
            <w:vAlign w:val="bottom"/>
          </w:tcPr>
          <w:p w:rsidR="0043703D" w:rsidRDefault="0043703D" w:rsidP="007E7EBF">
            <w:pPr>
              <w:pStyle w:val="Standard"/>
              <w:ind w:left="459" w:hanging="283"/>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Витрачання на оплату </w:t>
            </w:r>
            <w:r>
              <w:t xml:space="preserve"> </w:t>
            </w:r>
            <w:r>
              <w:rPr>
                <w:rFonts w:ascii="Times New Roman" w:hAnsi="Times New Roman" w:cs="Times New Roman"/>
                <w:sz w:val="20"/>
                <w:szCs w:val="20"/>
                <w:shd w:val="clear" w:color="auto" w:fill="FFFFFF"/>
              </w:rPr>
              <w:t>авансів</w:t>
            </w:r>
          </w:p>
        </w:tc>
        <w:tc>
          <w:tcPr>
            <w:tcW w:w="536" w:type="dxa"/>
            <w:tcBorders>
              <w:left w:val="single" w:sz="4" w:space="0" w:color="000000"/>
            </w:tcBorders>
            <w:tcMar>
              <w:top w:w="0" w:type="dxa"/>
              <w:left w:w="10" w:type="dxa"/>
              <w:bottom w:w="0" w:type="dxa"/>
              <w:right w:w="10" w:type="dxa"/>
            </w:tcMar>
            <w:vAlign w:val="bottom"/>
          </w:tcPr>
          <w:p w:rsidR="0043703D" w:rsidRDefault="0043703D" w:rsidP="007E7EBF">
            <w:pPr>
              <w:pStyle w:val="Standard"/>
              <w:rPr>
                <w:rFonts w:ascii="Times New Roman" w:hAnsi="Times New Roman" w:cs="Times New Roman"/>
                <w:sz w:val="20"/>
                <w:szCs w:val="20"/>
                <w:shd w:val="clear" w:color="auto" w:fill="FFFFFF"/>
              </w:rPr>
            </w:pPr>
          </w:p>
        </w:tc>
        <w:tc>
          <w:tcPr>
            <w:tcW w:w="236" w:type="dxa"/>
            <w:tcBorders>
              <w:right w:val="single" w:sz="4" w:space="0" w:color="000000"/>
            </w:tcBorders>
            <w:shd w:val="clear" w:color="auto" w:fill="FFFFFF"/>
            <w:tcMar>
              <w:top w:w="0" w:type="dxa"/>
              <w:left w:w="108" w:type="dxa"/>
              <w:bottom w:w="0" w:type="dxa"/>
              <w:right w:w="108" w:type="dxa"/>
            </w:tcMar>
            <w:vAlign w:val="center"/>
          </w:tcPr>
          <w:p w:rsidR="0043703D" w:rsidRDefault="0043703D" w:rsidP="007E7EBF">
            <w:pPr>
              <w:pStyle w:val="Standard"/>
              <w:widowControl w:val="0"/>
              <w:jc w:val="center"/>
            </w:pPr>
          </w:p>
        </w:tc>
        <w:tc>
          <w:tcPr>
            <w:tcW w:w="854" w:type="dxa"/>
            <w:tcBorders>
              <w:left w:val="single" w:sz="4" w:space="0" w:color="000000"/>
            </w:tcBorders>
            <w:shd w:val="clear" w:color="auto" w:fill="FFFFFF"/>
            <w:tcMar>
              <w:top w:w="0" w:type="dxa"/>
              <w:left w:w="10" w:type="dxa"/>
              <w:bottom w:w="0" w:type="dxa"/>
              <w:right w:w="10" w:type="dxa"/>
            </w:tcMar>
            <w:vAlign w:val="center"/>
          </w:tcPr>
          <w:p w:rsidR="0043703D" w:rsidRPr="00DA355A" w:rsidRDefault="00720D77" w:rsidP="007E7EBF">
            <w:pPr>
              <w:pStyle w:val="Standard"/>
              <w:widowControl w:val="0"/>
              <w:jc w:val="center"/>
              <w:rPr>
                <w:rFonts w:ascii="Times New Roman" w:hAnsi="Times New Roman" w:cs="Times New Roman"/>
                <w:sz w:val="20"/>
                <w:szCs w:val="20"/>
                <w:lang w:val="ru-RU"/>
              </w:rPr>
            </w:pPr>
            <w:r>
              <w:rPr>
                <w:rFonts w:ascii="Times New Roman" w:hAnsi="Times New Roman" w:cs="Times New Roman"/>
                <w:sz w:val="20"/>
                <w:szCs w:val="20"/>
                <w:lang w:val="ru-RU"/>
              </w:rPr>
              <w:t>8705</w:t>
            </w:r>
          </w:p>
        </w:tc>
        <w:tc>
          <w:tcPr>
            <w:tcW w:w="1494" w:type="dxa"/>
            <w:shd w:val="clear" w:color="auto" w:fill="FFFFFF"/>
            <w:tcMar>
              <w:top w:w="0" w:type="dxa"/>
              <w:left w:w="108" w:type="dxa"/>
              <w:bottom w:w="0" w:type="dxa"/>
              <w:right w:w="108" w:type="dxa"/>
            </w:tcMar>
          </w:tcPr>
          <w:p w:rsidR="0043703D" w:rsidRDefault="00720D77" w:rsidP="007E7EBF">
            <w:pPr>
              <w:pStyle w:val="15"/>
              <w:rPr>
                <w:b w:val="0"/>
                <w:bCs w:val="0"/>
                <w:sz w:val="20"/>
                <w:szCs w:val="20"/>
                <w:shd w:val="clear" w:color="auto" w:fill="FFFFFF"/>
                <w:lang w:val="uk-UA" w:eastAsia="en-US"/>
              </w:rPr>
            </w:pPr>
            <w:r>
              <w:rPr>
                <w:b w:val="0"/>
                <w:bCs w:val="0"/>
                <w:sz w:val="20"/>
                <w:szCs w:val="20"/>
                <w:shd w:val="clear" w:color="auto" w:fill="FFFFFF"/>
                <w:lang w:val="uk-UA" w:eastAsia="en-US"/>
              </w:rPr>
              <w:t>9245</w:t>
            </w:r>
          </w:p>
        </w:tc>
        <w:tc>
          <w:tcPr>
            <w:tcW w:w="1494" w:type="dxa"/>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bottom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                 Чистий рух коштів від операційної діяльності</w:t>
            </w:r>
          </w:p>
        </w:tc>
        <w:tc>
          <w:tcPr>
            <w:tcW w:w="536" w:type="dxa"/>
            <w:tcBorders>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b/>
                <w:bCs/>
                <w:sz w:val="20"/>
                <w:szCs w:val="20"/>
                <w:shd w:val="clear" w:color="auto" w:fill="FFFFFF"/>
              </w:rPr>
            </w:pPr>
          </w:p>
        </w:tc>
        <w:tc>
          <w:tcPr>
            <w:tcW w:w="236" w:type="dxa"/>
            <w:tcBorders>
              <w:bottom w:val="single" w:sz="4" w:space="0" w:color="00000A"/>
              <w:right w:val="single" w:sz="4" w:space="0" w:color="000000"/>
            </w:tcBorders>
            <w:shd w:val="clear" w:color="auto" w:fill="FFFFFF"/>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
                <w:bCs/>
                <w:sz w:val="20"/>
                <w:szCs w:val="20"/>
                <w:shd w:val="clear" w:color="auto" w:fill="FFFFFF"/>
              </w:rPr>
            </w:pPr>
          </w:p>
        </w:tc>
        <w:tc>
          <w:tcPr>
            <w:tcW w:w="854" w:type="dxa"/>
            <w:tcBorders>
              <w:left w:val="single" w:sz="4" w:space="0" w:color="000000"/>
              <w:bottom w:val="single" w:sz="4" w:space="0" w:color="00000A"/>
            </w:tcBorders>
            <w:shd w:val="clear" w:color="auto" w:fill="FFFFFF"/>
            <w:tcMar>
              <w:top w:w="0" w:type="dxa"/>
              <w:left w:w="10" w:type="dxa"/>
              <w:bottom w:w="0" w:type="dxa"/>
              <w:right w:w="10" w:type="dxa"/>
            </w:tcMar>
            <w:vAlign w:val="center"/>
          </w:tcPr>
          <w:p w:rsidR="0043703D" w:rsidRPr="00DA355A" w:rsidRDefault="00720D77" w:rsidP="007E7EBF">
            <w:pPr>
              <w:pStyle w:val="Standard"/>
              <w:widowControl w:val="0"/>
              <w:jc w:val="center"/>
              <w:rPr>
                <w:rFonts w:ascii="Times New Roman" w:hAnsi="Times New Roman" w:cs="Times New Roman"/>
                <w:b/>
                <w:bCs/>
                <w:sz w:val="20"/>
                <w:szCs w:val="20"/>
                <w:shd w:val="clear" w:color="auto" w:fill="FFFFFF"/>
                <w:lang w:val="ru-RU"/>
              </w:rPr>
            </w:pPr>
            <w:r>
              <w:rPr>
                <w:rFonts w:ascii="Times New Roman" w:hAnsi="Times New Roman" w:cs="Times New Roman"/>
                <w:b/>
                <w:bCs/>
                <w:sz w:val="20"/>
                <w:szCs w:val="20"/>
                <w:shd w:val="clear" w:color="auto" w:fill="FFFFFF"/>
                <w:lang w:val="ru-RU"/>
              </w:rPr>
              <w:t>216</w:t>
            </w:r>
          </w:p>
        </w:tc>
        <w:tc>
          <w:tcPr>
            <w:tcW w:w="1494" w:type="dxa"/>
            <w:tcBorders>
              <w:bottom w:val="single" w:sz="4" w:space="0" w:color="00000A"/>
            </w:tcBorders>
            <w:shd w:val="clear" w:color="auto" w:fill="FFFFFF"/>
            <w:tcMar>
              <w:top w:w="0" w:type="dxa"/>
              <w:left w:w="108" w:type="dxa"/>
              <w:bottom w:w="0" w:type="dxa"/>
              <w:right w:w="108" w:type="dxa"/>
            </w:tcMar>
          </w:tcPr>
          <w:p w:rsidR="0043703D" w:rsidRDefault="00720D77" w:rsidP="00720D77">
            <w:pPr>
              <w:pStyle w:val="15"/>
              <w:rPr>
                <w:sz w:val="20"/>
                <w:szCs w:val="20"/>
                <w:shd w:val="clear" w:color="auto" w:fill="FFFFFF"/>
                <w:lang w:val="uk-UA" w:eastAsia="en-US"/>
              </w:rPr>
            </w:pPr>
            <w:r>
              <w:rPr>
                <w:sz w:val="20"/>
                <w:szCs w:val="20"/>
                <w:shd w:val="clear" w:color="auto" w:fill="FFFFFF"/>
                <w:lang w:val="uk-UA" w:eastAsia="en-US"/>
              </w:rPr>
              <w:t>-314</w:t>
            </w:r>
          </w:p>
        </w:tc>
        <w:tc>
          <w:tcPr>
            <w:tcW w:w="1494" w:type="dxa"/>
            <w:tcBorders>
              <w:bottom w:val="single" w:sz="4" w:space="0" w:color="00000A"/>
            </w:tcBorders>
            <w:shd w:val="clear" w:color="auto" w:fill="FFFFFF"/>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bCs/>
                <w:sz w:val="20"/>
                <w:szCs w:val="20"/>
                <w:shd w:val="clear" w:color="auto" w:fill="FFFFFF"/>
              </w:rPr>
            </w:pPr>
          </w:p>
        </w:tc>
      </w:tr>
      <w:tr w:rsidR="0043703D" w:rsidTr="0097036C">
        <w:trPr>
          <w:trHeight w:val="20"/>
        </w:trPr>
        <w:tc>
          <w:tcPr>
            <w:tcW w:w="6018" w:type="dxa"/>
            <w:tcBorders>
              <w:top w:val="single" w:sz="4" w:space="0" w:color="00000A"/>
              <w:right w:val="single" w:sz="4" w:space="0" w:color="000000"/>
            </w:tcBorders>
            <w:tcMar>
              <w:top w:w="0" w:type="dxa"/>
              <w:left w:w="108" w:type="dxa"/>
              <w:bottom w:w="0" w:type="dxa"/>
              <w:right w:w="108" w:type="dxa"/>
            </w:tcMar>
            <w:vAlign w:val="center"/>
          </w:tcPr>
          <w:p w:rsidR="0043703D" w:rsidRPr="00706D42" w:rsidRDefault="0043703D" w:rsidP="007E7EBF">
            <w:pPr>
              <w:pStyle w:val="Standard"/>
              <w:ind w:left="459" w:hanging="283"/>
              <w:rPr>
                <w:rFonts w:ascii="Times New Roman" w:hAnsi="Times New Roman" w:cs="Times New Roman"/>
                <w:b/>
                <w:bCs/>
                <w:sz w:val="20"/>
                <w:szCs w:val="20"/>
                <w:shd w:val="clear" w:color="auto" w:fill="FFFFFF"/>
              </w:rPr>
            </w:pPr>
          </w:p>
          <w:p w:rsidR="0043703D" w:rsidRPr="00706D42" w:rsidRDefault="0043703D" w:rsidP="007E7EBF">
            <w:pPr>
              <w:pStyle w:val="Standard"/>
              <w:ind w:left="459" w:hanging="283"/>
              <w:rPr>
                <w:rFonts w:ascii="Times New Roman" w:hAnsi="Times New Roman" w:cs="Times New Roman"/>
                <w:b/>
                <w:bCs/>
                <w:sz w:val="20"/>
                <w:szCs w:val="20"/>
                <w:shd w:val="clear" w:color="auto" w:fill="FFFFFF"/>
              </w:rPr>
            </w:pPr>
            <w:r w:rsidRPr="00706D42">
              <w:rPr>
                <w:rFonts w:ascii="Times New Roman" w:hAnsi="Times New Roman" w:cs="Times New Roman"/>
                <w:b/>
                <w:bCs/>
                <w:sz w:val="20"/>
                <w:szCs w:val="20"/>
                <w:shd w:val="clear" w:color="auto" w:fill="FFFFFF"/>
              </w:rPr>
              <w:t xml:space="preserve">                 Рух коштів у результаті інвестиційної діяльності</w:t>
            </w:r>
          </w:p>
        </w:tc>
        <w:tc>
          <w:tcPr>
            <w:tcW w:w="536" w:type="dxa"/>
            <w:tcBorders>
              <w:top w:val="single" w:sz="4" w:space="0" w:color="00000A"/>
              <w:left w:val="single" w:sz="4" w:space="0" w:color="000000"/>
            </w:tcBorders>
            <w:tcMar>
              <w:top w:w="0" w:type="dxa"/>
              <w:left w:w="10" w:type="dxa"/>
              <w:bottom w:w="0" w:type="dxa"/>
              <w:right w:w="10" w:type="dxa"/>
            </w:tcMar>
            <w:vAlign w:val="center"/>
          </w:tcPr>
          <w:p w:rsidR="0043703D" w:rsidRPr="00706D42" w:rsidRDefault="0043703D" w:rsidP="007E7EBF">
            <w:pPr>
              <w:pStyle w:val="13"/>
              <w:rPr>
                <w:rFonts w:ascii="Times New Roman" w:eastAsia="Courier New" w:hAnsi="Times New Roman" w:cs="Times New Roman"/>
                <w:b/>
                <w:bCs/>
                <w:color w:val="000000"/>
                <w:sz w:val="20"/>
                <w:szCs w:val="20"/>
                <w:shd w:val="clear" w:color="auto" w:fill="FFFFFF"/>
                <w:lang w:val="uk-UA" w:eastAsia="uk-UA"/>
              </w:rPr>
            </w:pPr>
          </w:p>
          <w:p w:rsidR="0043703D" w:rsidRPr="00706D42" w:rsidRDefault="0043703D" w:rsidP="007E7EBF">
            <w:pPr>
              <w:pStyle w:val="Standard"/>
              <w:rPr>
                <w:rFonts w:ascii="Times New Roman" w:hAnsi="Times New Roman" w:cs="Times New Roman"/>
                <w:bCs/>
                <w:sz w:val="20"/>
                <w:szCs w:val="20"/>
                <w:shd w:val="clear" w:color="auto" w:fill="FFFFFF"/>
              </w:rPr>
            </w:pPr>
            <w:r w:rsidRPr="00706D42">
              <w:rPr>
                <w:rFonts w:ascii="Times New Roman" w:hAnsi="Times New Roman" w:cs="Times New Roman"/>
                <w:bCs/>
                <w:sz w:val="20"/>
                <w:szCs w:val="20"/>
                <w:shd w:val="clear" w:color="auto" w:fill="FFFFFF"/>
              </w:rPr>
              <w:t>3.4.2</w:t>
            </w:r>
          </w:p>
        </w:tc>
        <w:tc>
          <w:tcPr>
            <w:tcW w:w="236" w:type="dxa"/>
            <w:tcBorders>
              <w:top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sz w:val="20"/>
                <w:szCs w:val="20"/>
                <w:shd w:val="clear" w:color="auto" w:fill="FFFFFF"/>
              </w:rPr>
            </w:pPr>
          </w:p>
        </w:tc>
        <w:tc>
          <w:tcPr>
            <w:tcW w:w="854" w:type="dxa"/>
            <w:tcBorders>
              <w:top w:val="single" w:sz="4" w:space="0" w:color="00000A"/>
              <w:left w:val="single" w:sz="4" w:space="0" w:color="000000"/>
            </w:tcBorders>
            <w:tcMar>
              <w:top w:w="0" w:type="dxa"/>
              <w:left w:w="10" w:type="dxa"/>
              <w:bottom w:w="0" w:type="dxa"/>
              <w:right w:w="10" w:type="dxa"/>
            </w:tcMar>
            <w:vAlign w:val="center"/>
          </w:tcPr>
          <w:p w:rsidR="0043703D" w:rsidRDefault="0043703D" w:rsidP="007E7EBF">
            <w:pPr>
              <w:pStyle w:val="Standard"/>
              <w:widowControl w:val="0"/>
              <w:jc w:val="center"/>
              <w:rPr>
                <w:rFonts w:ascii="Times New Roman" w:hAnsi="Times New Roman" w:cs="Times New Roman"/>
                <w:sz w:val="20"/>
                <w:szCs w:val="20"/>
                <w:shd w:val="clear" w:color="auto" w:fill="FFFFFF"/>
              </w:rPr>
            </w:pPr>
          </w:p>
        </w:tc>
        <w:tc>
          <w:tcPr>
            <w:tcW w:w="1494" w:type="dxa"/>
            <w:tcBorders>
              <w:top w:val="single" w:sz="4" w:space="0" w:color="00000A"/>
            </w:tcBorders>
            <w:tcMar>
              <w:top w:w="0" w:type="dxa"/>
              <w:left w:w="108" w:type="dxa"/>
              <w:bottom w:w="0" w:type="dxa"/>
              <w:right w:w="108" w:type="dxa"/>
            </w:tcMar>
          </w:tcPr>
          <w:p w:rsidR="0043703D" w:rsidRDefault="0043703D" w:rsidP="007E7EBF">
            <w:pPr>
              <w:pStyle w:val="Standard"/>
              <w:rPr>
                <w:sz w:val="20"/>
                <w:szCs w:val="20"/>
                <w:shd w:val="clear" w:color="auto" w:fill="FFFFFF"/>
                <w:lang w:eastAsia="en-US"/>
              </w:rPr>
            </w:pPr>
          </w:p>
        </w:tc>
        <w:tc>
          <w:tcPr>
            <w:tcW w:w="1494" w:type="dxa"/>
            <w:tcBorders>
              <w:top w:val="single" w:sz="4" w:space="0" w:color="00000A"/>
            </w:tcBorders>
            <w:tcMar>
              <w:top w:w="0" w:type="dxa"/>
              <w:left w:w="108" w:type="dxa"/>
              <w:bottom w:w="0" w:type="dxa"/>
              <w:right w:w="108" w:type="dxa"/>
            </w:tcMar>
            <w:vAlign w:val="center"/>
          </w:tcPr>
          <w:p w:rsidR="0043703D" w:rsidRDefault="0043703D" w:rsidP="007E7EBF">
            <w:pPr>
              <w:pStyle w:val="Standard"/>
              <w:widowControl w:val="0"/>
              <w:jc w:val="right"/>
              <w:rPr>
                <w:rFonts w:ascii="Times New Roman" w:hAnsi="Times New Roman" w:cs="Times New Roman"/>
                <w:sz w:val="20"/>
                <w:szCs w:val="20"/>
                <w:shd w:val="clear" w:color="auto" w:fill="FFFFFF"/>
              </w:rPr>
            </w:pPr>
          </w:p>
        </w:tc>
      </w:tr>
      <w:tr w:rsidR="0043703D" w:rsidTr="0097036C">
        <w:trPr>
          <w:trHeight w:val="109"/>
        </w:trPr>
        <w:tc>
          <w:tcPr>
            <w:tcW w:w="6018" w:type="dxa"/>
            <w:tcBorders>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hAnsi="Times New Roman" w:cs="Times New Roman"/>
                <w:sz w:val="20"/>
                <w:szCs w:val="20"/>
              </w:rPr>
            </w:pPr>
            <w:r>
              <w:rPr>
                <w:rFonts w:ascii="Times New Roman" w:hAnsi="Times New Roman" w:cs="Times New Roman"/>
                <w:sz w:val="20"/>
                <w:szCs w:val="20"/>
              </w:rPr>
              <w:t xml:space="preserve">                 Витрачання на придбання необоротних активів</w:t>
            </w:r>
          </w:p>
        </w:tc>
        <w:tc>
          <w:tcPr>
            <w:tcW w:w="536" w:type="dxa"/>
            <w:tcBorders>
              <w:left w:val="single" w:sz="4" w:space="0" w:color="000000"/>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sz w:val="20"/>
                <w:szCs w:val="20"/>
              </w:rPr>
            </w:pP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Cs/>
                <w:sz w:val="20"/>
                <w:szCs w:val="20"/>
              </w:rPr>
            </w:pPr>
          </w:p>
        </w:tc>
        <w:tc>
          <w:tcPr>
            <w:tcW w:w="854" w:type="dxa"/>
            <w:tcBorders>
              <w:left w:val="single" w:sz="4" w:space="0" w:color="000000"/>
            </w:tcBorders>
            <w:tcMar>
              <w:top w:w="0" w:type="dxa"/>
              <w:left w:w="10" w:type="dxa"/>
              <w:bottom w:w="0" w:type="dxa"/>
              <w:right w:w="10" w:type="dxa"/>
            </w:tcMar>
            <w:vAlign w:val="center"/>
          </w:tcPr>
          <w:p w:rsidR="0043703D" w:rsidRDefault="0043703D" w:rsidP="007E7EBF">
            <w:pPr>
              <w:pStyle w:val="Standard"/>
              <w:widowControl w:val="0"/>
              <w:jc w:val="center"/>
              <w:rPr>
                <w:rFonts w:ascii="Times New Roman" w:hAnsi="Times New Roman" w:cs="Times New Roman"/>
                <w:bCs/>
                <w:sz w:val="20"/>
                <w:szCs w:val="20"/>
              </w:rPr>
            </w:pPr>
          </w:p>
        </w:tc>
        <w:tc>
          <w:tcPr>
            <w:tcW w:w="1494" w:type="dxa"/>
            <w:tcMar>
              <w:top w:w="0" w:type="dxa"/>
              <w:left w:w="108" w:type="dxa"/>
              <w:bottom w:w="0" w:type="dxa"/>
              <w:right w:w="108" w:type="dxa"/>
            </w:tcMar>
          </w:tcPr>
          <w:p w:rsidR="0043703D" w:rsidRDefault="00720D77" w:rsidP="007E7EBF">
            <w:pPr>
              <w:pStyle w:val="15"/>
              <w:rPr>
                <w:b w:val="0"/>
                <w:bCs w:val="0"/>
                <w:sz w:val="20"/>
                <w:szCs w:val="20"/>
                <w:shd w:val="clear" w:color="auto" w:fill="FFFFFF"/>
                <w:lang w:val="uk-UA" w:eastAsia="en-US"/>
              </w:rPr>
            </w:pPr>
            <w:r>
              <w:rPr>
                <w:b w:val="0"/>
                <w:bCs w:val="0"/>
                <w:sz w:val="20"/>
                <w:szCs w:val="20"/>
                <w:shd w:val="clear" w:color="auto" w:fill="FFFFFF"/>
                <w:lang w:val="uk-UA" w:eastAsia="en-US"/>
              </w:rPr>
              <w:t>0</w:t>
            </w:r>
          </w:p>
        </w:tc>
        <w:tc>
          <w:tcPr>
            <w:tcW w:w="1494" w:type="dxa"/>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Cs/>
                <w:sz w:val="20"/>
                <w:szCs w:val="20"/>
              </w:rPr>
            </w:pPr>
          </w:p>
        </w:tc>
      </w:tr>
      <w:tr w:rsidR="0043703D" w:rsidTr="0097036C">
        <w:trPr>
          <w:trHeight w:val="109"/>
        </w:trPr>
        <w:tc>
          <w:tcPr>
            <w:tcW w:w="6018" w:type="dxa"/>
            <w:tcBorders>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hAnsi="Times New Roman" w:cs="Times New Roman"/>
                <w:sz w:val="20"/>
                <w:szCs w:val="20"/>
              </w:rPr>
            </w:pPr>
            <w:r>
              <w:rPr>
                <w:rFonts w:ascii="Times New Roman" w:hAnsi="Times New Roman" w:cs="Times New Roman"/>
                <w:sz w:val="20"/>
                <w:szCs w:val="20"/>
              </w:rPr>
              <w:t xml:space="preserve">                 </w:t>
            </w:r>
          </w:p>
        </w:tc>
        <w:tc>
          <w:tcPr>
            <w:tcW w:w="536" w:type="dxa"/>
            <w:tcBorders>
              <w:left w:val="single" w:sz="4" w:space="0" w:color="000000"/>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sz w:val="20"/>
                <w:szCs w:val="20"/>
              </w:rPr>
            </w:pPr>
          </w:p>
        </w:tc>
        <w:tc>
          <w:tcPr>
            <w:tcW w:w="236" w:type="dxa"/>
            <w:tcBorders>
              <w:right w:val="single" w:sz="4" w:space="0" w:color="000000"/>
            </w:tcBorders>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Cs/>
                <w:sz w:val="20"/>
                <w:szCs w:val="20"/>
              </w:rPr>
            </w:pPr>
          </w:p>
        </w:tc>
        <w:tc>
          <w:tcPr>
            <w:tcW w:w="854" w:type="dxa"/>
            <w:tcBorders>
              <w:left w:val="single" w:sz="4" w:space="0" w:color="000000"/>
            </w:tcBorders>
            <w:tcMar>
              <w:top w:w="0" w:type="dxa"/>
              <w:left w:w="10" w:type="dxa"/>
              <w:bottom w:w="0" w:type="dxa"/>
              <w:right w:w="10" w:type="dxa"/>
            </w:tcMar>
            <w:vAlign w:val="center"/>
          </w:tcPr>
          <w:p w:rsidR="0043703D" w:rsidRDefault="0043703D" w:rsidP="007E7EBF">
            <w:pPr>
              <w:pStyle w:val="Standard"/>
              <w:widowControl w:val="0"/>
              <w:jc w:val="center"/>
              <w:rPr>
                <w:rFonts w:ascii="Times New Roman" w:hAnsi="Times New Roman" w:cs="Times New Roman"/>
                <w:bCs/>
                <w:sz w:val="20"/>
                <w:szCs w:val="20"/>
              </w:rPr>
            </w:pPr>
          </w:p>
        </w:tc>
        <w:tc>
          <w:tcPr>
            <w:tcW w:w="1494" w:type="dxa"/>
            <w:tcMar>
              <w:top w:w="0" w:type="dxa"/>
              <w:left w:w="108" w:type="dxa"/>
              <w:bottom w:w="0" w:type="dxa"/>
              <w:right w:w="108" w:type="dxa"/>
            </w:tcMar>
          </w:tcPr>
          <w:p w:rsidR="0043703D" w:rsidRDefault="0043703D" w:rsidP="007E7EBF">
            <w:pPr>
              <w:pStyle w:val="15"/>
              <w:rPr>
                <w:b w:val="0"/>
                <w:bCs w:val="0"/>
                <w:sz w:val="20"/>
                <w:szCs w:val="20"/>
                <w:shd w:val="clear" w:color="auto" w:fill="FFFFFF"/>
                <w:lang w:val="uk-UA" w:eastAsia="en-US"/>
              </w:rPr>
            </w:pPr>
          </w:p>
        </w:tc>
        <w:tc>
          <w:tcPr>
            <w:tcW w:w="1494" w:type="dxa"/>
            <w:tcMar>
              <w:top w:w="0" w:type="dxa"/>
              <w:left w:w="108" w:type="dxa"/>
              <w:bottom w:w="0" w:type="dxa"/>
              <w:right w:w="108" w:type="dxa"/>
            </w:tcMar>
            <w:vAlign w:val="center"/>
          </w:tcPr>
          <w:p w:rsidR="0043703D" w:rsidRDefault="0043703D" w:rsidP="007E7EBF">
            <w:pPr>
              <w:pStyle w:val="Standard"/>
              <w:widowControl w:val="0"/>
              <w:jc w:val="center"/>
              <w:rPr>
                <w:rFonts w:ascii="Times New Roman" w:hAnsi="Times New Roman" w:cs="Times New Roman"/>
                <w:bCs/>
                <w:sz w:val="20"/>
                <w:szCs w:val="20"/>
              </w:rPr>
            </w:pPr>
          </w:p>
        </w:tc>
      </w:tr>
      <w:tr w:rsidR="0043703D" w:rsidTr="0097036C">
        <w:trPr>
          <w:trHeight w:val="20"/>
        </w:trPr>
        <w:tc>
          <w:tcPr>
            <w:tcW w:w="6018" w:type="dxa"/>
            <w:tcBorders>
              <w:bottom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hAnsi="Times New Roman" w:cs="Times New Roman"/>
                <w:b/>
                <w:bCs/>
                <w:sz w:val="20"/>
                <w:szCs w:val="20"/>
              </w:rPr>
            </w:pPr>
            <w:r>
              <w:rPr>
                <w:rFonts w:ascii="Times New Roman" w:hAnsi="Times New Roman" w:cs="Times New Roman"/>
                <w:b/>
                <w:bCs/>
                <w:sz w:val="20"/>
                <w:szCs w:val="20"/>
              </w:rPr>
              <w:t xml:space="preserve">                 Чистий рух коштів від інвестиційної діяльності</w:t>
            </w:r>
          </w:p>
        </w:tc>
        <w:tc>
          <w:tcPr>
            <w:tcW w:w="536" w:type="dxa"/>
            <w:tcBorders>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b/>
                <w:bCs/>
                <w:sz w:val="20"/>
                <w:szCs w:val="20"/>
              </w:rPr>
            </w:pPr>
          </w:p>
        </w:tc>
        <w:tc>
          <w:tcPr>
            <w:tcW w:w="236" w:type="dxa"/>
            <w:tcBorders>
              <w:bottom w:val="single" w:sz="4" w:space="0" w:color="00000A"/>
              <w:right w:val="single" w:sz="4" w:space="0" w:color="000000"/>
            </w:tcBorders>
            <w:tcMar>
              <w:top w:w="0" w:type="dxa"/>
              <w:left w:w="108" w:type="dxa"/>
              <w:bottom w:w="0" w:type="dxa"/>
              <w:right w:w="108" w:type="dxa"/>
            </w:tcMar>
            <w:vAlign w:val="bottom"/>
          </w:tcPr>
          <w:p w:rsidR="0043703D" w:rsidRDefault="0043703D" w:rsidP="007E7EBF">
            <w:pPr>
              <w:pStyle w:val="Standard"/>
              <w:widowControl w:val="0"/>
              <w:jc w:val="center"/>
              <w:rPr>
                <w:rFonts w:ascii="Times New Roman" w:hAnsi="Times New Roman" w:cs="Times New Roman"/>
                <w:b/>
                <w:bCs/>
                <w:sz w:val="20"/>
                <w:szCs w:val="20"/>
              </w:rPr>
            </w:pPr>
          </w:p>
        </w:tc>
        <w:tc>
          <w:tcPr>
            <w:tcW w:w="854" w:type="dxa"/>
            <w:tcBorders>
              <w:left w:val="single" w:sz="4" w:space="0" w:color="000000"/>
              <w:bottom w:val="single" w:sz="4" w:space="0" w:color="00000A"/>
            </w:tcBorders>
            <w:tcMar>
              <w:top w:w="0" w:type="dxa"/>
              <w:left w:w="10" w:type="dxa"/>
              <w:bottom w:w="0" w:type="dxa"/>
              <w:right w:w="10" w:type="dxa"/>
            </w:tcMar>
            <w:vAlign w:val="bottom"/>
          </w:tcPr>
          <w:p w:rsidR="0043703D" w:rsidRDefault="0043703D" w:rsidP="007E7EBF">
            <w:pPr>
              <w:pStyle w:val="Standard"/>
              <w:widowControl w:val="0"/>
              <w:jc w:val="center"/>
              <w:rPr>
                <w:rFonts w:ascii="Times New Roman" w:hAnsi="Times New Roman" w:cs="Times New Roman"/>
                <w:b/>
                <w:bCs/>
                <w:sz w:val="20"/>
                <w:szCs w:val="20"/>
              </w:rPr>
            </w:pPr>
          </w:p>
        </w:tc>
        <w:tc>
          <w:tcPr>
            <w:tcW w:w="1494" w:type="dxa"/>
            <w:tcBorders>
              <w:bottom w:val="single" w:sz="4" w:space="0" w:color="00000A"/>
            </w:tcBorders>
            <w:tcMar>
              <w:top w:w="0" w:type="dxa"/>
              <w:left w:w="108" w:type="dxa"/>
              <w:bottom w:w="0" w:type="dxa"/>
              <w:right w:w="108" w:type="dxa"/>
            </w:tcMar>
          </w:tcPr>
          <w:p w:rsidR="0043703D" w:rsidRDefault="00720D77" w:rsidP="007E7EBF">
            <w:pPr>
              <w:pStyle w:val="15"/>
              <w:rPr>
                <w:sz w:val="20"/>
                <w:szCs w:val="20"/>
                <w:shd w:val="clear" w:color="auto" w:fill="FFFFFF"/>
                <w:lang w:val="uk-UA" w:eastAsia="en-US"/>
              </w:rPr>
            </w:pPr>
            <w:r>
              <w:rPr>
                <w:sz w:val="20"/>
                <w:szCs w:val="20"/>
                <w:shd w:val="clear" w:color="auto" w:fill="FFFFFF"/>
                <w:lang w:val="uk-UA" w:eastAsia="en-US"/>
              </w:rPr>
              <w:t>0</w:t>
            </w:r>
          </w:p>
        </w:tc>
        <w:tc>
          <w:tcPr>
            <w:tcW w:w="1494" w:type="dxa"/>
            <w:tcBorders>
              <w:bottom w:val="single" w:sz="4" w:space="0" w:color="00000A"/>
            </w:tcBorders>
            <w:tcMar>
              <w:top w:w="0" w:type="dxa"/>
              <w:left w:w="108" w:type="dxa"/>
              <w:bottom w:w="0" w:type="dxa"/>
              <w:right w:w="108" w:type="dxa"/>
            </w:tcMar>
            <w:vAlign w:val="bottom"/>
          </w:tcPr>
          <w:p w:rsidR="0043703D" w:rsidRDefault="0043703D" w:rsidP="007E7EBF">
            <w:pPr>
              <w:pStyle w:val="Standard"/>
              <w:widowControl w:val="0"/>
              <w:jc w:val="right"/>
              <w:rPr>
                <w:rFonts w:ascii="Times New Roman" w:hAnsi="Times New Roman" w:cs="Times New Roman"/>
                <w:b/>
                <w:bCs/>
                <w:color w:val="auto"/>
                <w:sz w:val="20"/>
                <w:szCs w:val="20"/>
              </w:rPr>
            </w:pPr>
          </w:p>
        </w:tc>
      </w:tr>
      <w:tr w:rsidR="0043703D" w:rsidTr="001B7705">
        <w:trPr>
          <w:trHeight w:val="20"/>
        </w:trPr>
        <w:tc>
          <w:tcPr>
            <w:tcW w:w="6018" w:type="dxa"/>
            <w:tcBorders>
              <w:top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hAnsi="Times New Roman" w:cs="Times New Roman"/>
                <w:b/>
                <w:sz w:val="20"/>
                <w:szCs w:val="20"/>
              </w:rPr>
            </w:pPr>
          </w:p>
          <w:p w:rsidR="0043703D" w:rsidRDefault="0043703D" w:rsidP="007E7EBF">
            <w:pPr>
              <w:pStyle w:val="Standard"/>
              <w:ind w:left="459" w:hanging="283"/>
              <w:rPr>
                <w:rFonts w:ascii="Times New Roman" w:hAnsi="Times New Roman" w:cs="Times New Roman"/>
                <w:b/>
                <w:sz w:val="20"/>
                <w:szCs w:val="20"/>
              </w:rPr>
            </w:pPr>
            <w:r>
              <w:rPr>
                <w:rFonts w:ascii="Times New Roman" w:hAnsi="Times New Roman" w:cs="Times New Roman"/>
                <w:b/>
                <w:sz w:val="20"/>
                <w:szCs w:val="20"/>
              </w:rPr>
              <w:t xml:space="preserve">                  Чистий рух грошових коштів за звітний період</w:t>
            </w:r>
          </w:p>
        </w:tc>
        <w:tc>
          <w:tcPr>
            <w:tcW w:w="536" w:type="dxa"/>
            <w:tcBorders>
              <w:top w:val="single" w:sz="4" w:space="0" w:color="00000A"/>
              <w:left w:val="single" w:sz="4" w:space="0" w:color="000000"/>
            </w:tcBorders>
            <w:tcMar>
              <w:top w:w="0" w:type="dxa"/>
              <w:left w:w="10" w:type="dxa"/>
              <w:bottom w:w="0" w:type="dxa"/>
              <w:right w:w="10" w:type="dxa"/>
            </w:tcMar>
            <w:vAlign w:val="center"/>
          </w:tcPr>
          <w:p w:rsidR="0043703D" w:rsidRDefault="0043703D" w:rsidP="007E7EBF">
            <w:pPr>
              <w:pStyle w:val="13"/>
              <w:rPr>
                <w:rFonts w:ascii="Times New Roman" w:eastAsia="Courier New" w:hAnsi="Times New Roman" w:cs="Times New Roman"/>
                <w:b/>
                <w:color w:val="000000"/>
                <w:sz w:val="20"/>
                <w:szCs w:val="20"/>
                <w:lang w:val="uk-UA" w:eastAsia="uk-UA"/>
              </w:rPr>
            </w:pPr>
          </w:p>
          <w:p w:rsidR="0043703D" w:rsidRDefault="0043703D" w:rsidP="007E7EBF">
            <w:pPr>
              <w:pStyle w:val="Standard"/>
              <w:rPr>
                <w:rFonts w:ascii="Times New Roman" w:hAnsi="Times New Roman" w:cs="Times New Roman"/>
                <w:b/>
                <w:sz w:val="20"/>
                <w:szCs w:val="20"/>
              </w:rPr>
            </w:pPr>
          </w:p>
        </w:tc>
        <w:tc>
          <w:tcPr>
            <w:tcW w:w="236" w:type="dxa"/>
            <w:vMerge w:val="restart"/>
            <w:tcBorders>
              <w:top w:val="single" w:sz="4" w:space="0" w:color="00000A"/>
              <w:bottom w:val="single" w:sz="4" w:space="0" w:color="00000A"/>
              <w:right w:val="single" w:sz="4" w:space="0" w:color="000000"/>
            </w:tcBorders>
            <w:tcMar>
              <w:top w:w="0" w:type="dxa"/>
              <w:left w:w="108" w:type="dxa"/>
              <w:bottom w:w="0" w:type="dxa"/>
              <w:right w:w="108" w:type="dxa"/>
            </w:tcMar>
            <w:vAlign w:val="bottom"/>
          </w:tcPr>
          <w:p w:rsidR="0043703D" w:rsidRDefault="0043703D" w:rsidP="007E7EBF">
            <w:pPr>
              <w:pStyle w:val="Standard"/>
              <w:widowControl w:val="0"/>
              <w:jc w:val="center"/>
              <w:rPr>
                <w:rFonts w:ascii="Times New Roman" w:hAnsi="Times New Roman" w:cs="Times New Roman"/>
                <w:b/>
                <w:bCs/>
                <w:sz w:val="20"/>
                <w:szCs w:val="20"/>
              </w:rPr>
            </w:pPr>
          </w:p>
        </w:tc>
        <w:tc>
          <w:tcPr>
            <w:tcW w:w="854" w:type="dxa"/>
            <w:tcBorders>
              <w:top w:val="single" w:sz="4" w:space="0" w:color="00000A"/>
              <w:left w:val="single" w:sz="4" w:space="0" w:color="000000"/>
              <w:bottom w:val="single" w:sz="4" w:space="0" w:color="00000A"/>
            </w:tcBorders>
            <w:tcMar>
              <w:top w:w="0" w:type="dxa"/>
              <w:left w:w="10" w:type="dxa"/>
              <w:bottom w:w="0" w:type="dxa"/>
              <w:right w:w="10" w:type="dxa"/>
            </w:tcMar>
            <w:vAlign w:val="bottom"/>
          </w:tcPr>
          <w:p w:rsidR="0043703D" w:rsidRPr="001B7705" w:rsidRDefault="00DD20D0" w:rsidP="007E7EBF">
            <w:pPr>
              <w:pStyle w:val="Standard"/>
              <w:widowControl w:val="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216</w:t>
            </w:r>
          </w:p>
        </w:tc>
        <w:tc>
          <w:tcPr>
            <w:tcW w:w="2988" w:type="dxa"/>
            <w:gridSpan w:val="2"/>
            <w:tcBorders>
              <w:top w:val="single" w:sz="4" w:space="0" w:color="00000A"/>
              <w:bottom w:val="single" w:sz="4" w:space="0" w:color="00000A"/>
            </w:tcBorders>
            <w:tcMar>
              <w:top w:w="0" w:type="dxa"/>
              <w:left w:w="108" w:type="dxa"/>
              <w:bottom w:w="0" w:type="dxa"/>
              <w:right w:w="108" w:type="dxa"/>
            </w:tcMar>
            <w:vAlign w:val="bottom"/>
          </w:tcPr>
          <w:p w:rsidR="0043703D" w:rsidRPr="001B7705" w:rsidRDefault="00720D77" w:rsidP="00720D77">
            <w:pPr>
              <w:pStyle w:val="Standard"/>
              <w:ind w:right="1451"/>
              <w:jc w:val="center"/>
              <w:rPr>
                <w:rFonts w:ascii="Times New Roman" w:hAnsi="Times New Roman" w:cs="Times New Roman"/>
                <w:b/>
                <w:sz w:val="20"/>
                <w:szCs w:val="20"/>
                <w:lang w:val="ru-RU"/>
              </w:rPr>
            </w:pPr>
            <w:r>
              <w:rPr>
                <w:rFonts w:ascii="Times New Roman" w:hAnsi="Times New Roman" w:cs="Times New Roman"/>
                <w:b/>
                <w:sz w:val="20"/>
                <w:szCs w:val="20"/>
                <w:lang w:val="ru-RU"/>
              </w:rPr>
              <w:t>-</w:t>
            </w:r>
            <w:r w:rsidR="001B7705" w:rsidRPr="001B7705">
              <w:rPr>
                <w:rFonts w:ascii="Times New Roman" w:hAnsi="Times New Roman" w:cs="Times New Roman"/>
                <w:b/>
                <w:sz w:val="20"/>
                <w:szCs w:val="20"/>
                <w:lang w:val="ru-RU"/>
              </w:rPr>
              <w:t>31</w:t>
            </w:r>
            <w:r>
              <w:rPr>
                <w:rFonts w:ascii="Times New Roman" w:hAnsi="Times New Roman" w:cs="Times New Roman"/>
                <w:b/>
                <w:sz w:val="20"/>
                <w:szCs w:val="20"/>
                <w:lang w:val="ru-RU"/>
              </w:rPr>
              <w:t>4</w:t>
            </w:r>
          </w:p>
        </w:tc>
      </w:tr>
      <w:tr w:rsidR="0043703D" w:rsidTr="001B7705">
        <w:trPr>
          <w:trHeight w:val="20"/>
        </w:trPr>
        <w:tc>
          <w:tcPr>
            <w:tcW w:w="6018" w:type="dxa"/>
            <w:tcBorders>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 xml:space="preserve">                  Залишок коштів на початок року</w:t>
            </w:r>
          </w:p>
        </w:tc>
        <w:tc>
          <w:tcPr>
            <w:tcW w:w="536" w:type="dxa"/>
            <w:tcBorders>
              <w:left w:val="single" w:sz="4" w:space="0" w:color="000000"/>
            </w:tcBorders>
            <w:tcMar>
              <w:top w:w="0" w:type="dxa"/>
              <w:left w:w="10" w:type="dxa"/>
              <w:bottom w:w="0" w:type="dxa"/>
              <w:right w:w="10" w:type="dxa"/>
            </w:tcMar>
            <w:vAlign w:val="center"/>
          </w:tcPr>
          <w:p w:rsidR="0043703D" w:rsidRDefault="0043703D" w:rsidP="007E7EBF">
            <w:pPr>
              <w:pStyle w:val="Standard"/>
              <w:rPr>
                <w:rFonts w:ascii="Times New Roman" w:eastAsia="Times New Roman" w:hAnsi="Times New Roman" w:cs="Times New Roman"/>
                <w:b/>
                <w:color w:val="00000A"/>
                <w:sz w:val="20"/>
                <w:szCs w:val="20"/>
              </w:rPr>
            </w:pPr>
          </w:p>
        </w:tc>
        <w:tc>
          <w:tcPr>
            <w:tcW w:w="236" w:type="dxa"/>
            <w:vMerge/>
            <w:tcBorders>
              <w:top w:val="single" w:sz="4" w:space="0" w:color="00000A"/>
              <w:bottom w:val="single" w:sz="4" w:space="0" w:color="00000A"/>
              <w:right w:val="single" w:sz="4" w:space="0" w:color="000000"/>
            </w:tcBorders>
            <w:tcMar>
              <w:top w:w="0" w:type="dxa"/>
              <w:left w:w="108" w:type="dxa"/>
              <w:bottom w:w="0" w:type="dxa"/>
              <w:right w:w="108" w:type="dxa"/>
            </w:tcMar>
            <w:vAlign w:val="bottom"/>
          </w:tcPr>
          <w:p w:rsidR="0043703D" w:rsidRDefault="0043703D" w:rsidP="007E7EBF"/>
        </w:tc>
        <w:tc>
          <w:tcPr>
            <w:tcW w:w="854" w:type="dxa"/>
            <w:tcBorders>
              <w:top w:val="single" w:sz="4" w:space="0" w:color="00000A"/>
              <w:left w:val="single" w:sz="4" w:space="0" w:color="000000"/>
              <w:bottom w:val="single" w:sz="4" w:space="0" w:color="00000A"/>
            </w:tcBorders>
            <w:tcMar>
              <w:top w:w="0" w:type="dxa"/>
              <w:left w:w="10" w:type="dxa"/>
              <w:bottom w:w="0" w:type="dxa"/>
              <w:right w:w="10" w:type="dxa"/>
            </w:tcMar>
            <w:vAlign w:val="bottom"/>
          </w:tcPr>
          <w:p w:rsidR="0043703D" w:rsidRPr="001B7705" w:rsidRDefault="00DD20D0" w:rsidP="007E7EBF">
            <w:pPr>
              <w:pStyle w:val="Standard"/>
              <w:widowControl w:val="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34</w:t>
            </w:r>
          </w:p>
        </w:tc>
        <w:tc>
          <w:tcPr>
            <w:tcW w:w="1494" w:type="dxa"/>
            <w:tcBorders>
              <w:top w:val="single" w:sz="4" w:space="0" w:color="00000A"/>
              <w:bottom w:val="single" w:sz="4" w:space="0" w:color="00000A"/>
            </w:tcBorders>
            <w:tcMar>
              <w:top w:w="0" w:type="dxa"/>
              <w:left w:w="108" w:type="dxa"/>
              <w:bottom w:w="0" w:type="dxa"/>
              <w:right w:w="108" w:type="dxa"/>
            </w:tcMar>
            <w:vAlign w:val="center"/>
          </w:tcPr>
          <w:p w:rsidR="0043703D" w:rsidRPr="001B7705" w:rsidRDefault="001B7705" w:rsidP="001B7705">
            <w:pPr>
              <w:pStyle w:val="15"/>
              <w:rPr>
                <w:sz w:val="20"/>
                <w:szCs w:val="20"/>
                <w:shd w:val="clear" w:color="auto" w:fill="FFFFFF"/>
                <w:lang w:val="uk-UA" w:eastAsia="en-US"/>
              </w:rPr>
            </w:pPr>
            <w:r w:rsidRPr="001B7705">
              <w:rPr>
                <w:sz w:val="20"/>
                <w:szCs w:val="20"/>
                <w:shd w:val="clear" w:color="auto" w:fill="FFFFFF"/>
                <w:lang w:val="uk-UA" w:eastAsia="en-US"/>
              </w:rPr>
              <w:t>3</w:t>
            </w:r>
            <w:r w:rsidR="00720D77">
              <w:rPr>
                <w:sz w:val="20"/>
                <w:szCs w:val="20"/>
                <w:shd w:val="clear" w:color="auto" w:fill="FFFFFF"/>
                <w:lang w:val="uk-UA" w:eastAsia="en-US"/>
              </w:rPr>
              <w:t>4</w:t>
            </w:r>
            <w:r w:rsidRPr="001B7705">
              <w:rPr>
                <w:sz w:val="20"/>
                <w:szCs w:val="20"/>
                <w:shd w:val="clear" w:color="auto" w:fill="FFFFFF"/>
                <w:lang w:val="uk-UA" w:eastAsia="en-US"/>
              </w:rPr>
              <w:t>8</w:t>
            </w:r>
          </w:p>
        </w:tc>
        <w:tc>
          <w:tcPr>
            <w:tcW w:w="1494" w:type="dxa"/>
            <w:tcBorders>
              <w:top w:val="single" w:sz="4" w:space="0" w:color="00000A"/>
              <w:bottom w:val="single" w:sz="4" w:space="0" w:color="00000A"/>
            </w:tcBorders>
            <w:tcMar>
              <w:top w:w="0" w:type="dxa"/>
              <w:left w:w="108" w:type="dxa"/>
              <w:bottom w:w="0" w:type="dxa"/>
              <w:right w:w="108" w:type="dxa"/>
            </w:tcMar>
            <w:vAlign w:val="bottom"/>
          </w:tcPr>
          <w:p w:rsidR="0043703D" w:rsidRDefault="0043703D" w:rsidP="007E7EBF">
            <w:pPr>
              <w:pStyle w:val="Standard"/>
              <w:widowControl w:val="0"/>
              <w:jc w:val="right"/>
              <w:rPr>
                <w:rFonts w:ascii="Times New Roman" w:hAnsi="Times New Roman" w:cs="Times New Roman"/>
                <w:bCs/>
                <w:sz w:val="20"/>
                <w:szCs w:val="20"/>
              </w:rPr>
            </w:pPr>
          </w:p>
        </w:tc>
      </w:tr>
      <w:tr w:rsidR="0043703D" w:rsidTr="001B7705">
        <w:trPr>
          <w:trHeight w:val="20"/>
        </w:trPr>
        <w:tc>
          <w:tcPr>
            <w:tcW w:w="6018" w:type="dxa"/>
            <w:tcBorders>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 xml:space="preserve">                  Вплив зміни валютних курсів на залишок коштів</w:t>
            </w:r>
          </w:p>
        </w:tc>
        <w:tc>
          <w:tcPr>
            <w:tcW w:w="536" w:type="dxa"/>
            <w:tcBorders>
              <w:left w:val="single" w:sz="4" w:space="0" w:color="000000"/>
            </w:tcBorders>
            <w:tcMar>
              <w:top w:w="0" w:type="dxa"/>
              <w:left w:w="10" w:type="dxa"/>
              <w:bottom w:w="0" w:type="dxa"/>
              <w:right w:w="10" w:type="dxa"/>
            </w:tcMar>
            <w:vAlign w:val="center"/>
          </w:tcPr>
          <w:p w:rsidR="0043703D" w:rsidRDefault="0043703D" w:rsidP="007E7EBF">
            <w:pPr>
              <w:pStyle w:val="Standard"/>
              <w:rPr>
                <w:rFonts w:ascii="Times New Roman" w:eastAsia="Times New Roman" w:hAnsi="Times New Roman" w:cs="Times New Roman"/>
                <w:b/>
                <w:color w:val="00000A"/>
                <w:sz w:val="20"/>
                <w:szCs w:val="20"/>
              </w:rPr>
            </w:pPr>
          </w:p>
        </w:tc>
        <w:tc>
          <w:tcPr>
            <w:tcW w:w="236" w:type="dxa"/>
            <w:vMerge/>
            <w:tcBorders>
              <w:top w:val="single" w:sz="4" w:space="0" w:color="00000A"/>
              <w:left w:val="single" w:sz="4" w:space="0" w:color="000000"/>
              <w:bottom w:val="single" w:sz="4" w:space="0" w:color="00000A"/>
            </w:tcBorders>
            <w:tcMar>
              <w:top w:w="0" w:type="dxa"/>
              <w:left w:w="108" w:type="dxa"/>
              <w:bottom w:w="0" w:type="dxa"/>
              <w:right w:w="108" w:type="dxa"/>
            </w:tcMar>
            <w:vAlign w:val="bottom"/>
          </w:tcPr>
          <w:p w:rsidR="0043703D" w:rsidRDefault="0043703D" w:rsidP="007E7EBF"/>
        </w:tc>
        <w:tc>
          <w:tcPr>
            <w:tcW w:w="854" w:type="dxa"/>
            <w:tcBorders>
              <w:top w:val="single" w:sz="4" w:space="0" w:color="00000A"/>
              <w:left w:val="single" w:sz="4" w:space="0" w:color="000000"/>
              <w:bottom w:val="single" w:sz="4" w:space="0" w:color="00000A"/>
            </w:tcBorders>
            <w:tcMar>
              <w:top w:w="0" w:type="dxa"/>
              <w:left w:w="108" w:type="dxa"/>
              <w:bottom w:w="0" w:type="dxa"/>
              <w:right w:w="108" w:type="dxa"/>
            </w:tcMar>
            <w:vAlign w:val="bottom"/>
          </w:tcPr>
          <w:p w:rsidR="0043703D" w:rsidRDefault="0043703D" w:rsidP="007E7EBF">
            <w:pPr>
              <w:pStyle w:val="Standard"/>
              <w:widowControl w:val="0"/>
              <w:jc w:val="center"/>
              <w:rPr>
                <w:rFonts w:ascii="Times New Roman" w:hAnsi="Times New Roman" w:cs="Times New Roman"/>
                <w:b/>
                <w:bCs/>
                <w:sz w:val="20"/>
                <w:szCs w:val="20"/>
              </w:rPr>
            </w:pPr>
          </w:p>
        </w:tc>
        <w:tc>
          <w:tcPr>
            <w:tcW w:w="1494" w:type="dxa"/>
            <w:tcBorders>
              <w:top w:val="single" w:sz="4" w:space="0" w:color="00000A"/>
              <w:bottom w:val="single" w:sz="4" w:space="0" w:color="00000A"/>
            </w:tcBorders>
            <w:tcMar>
              <w:top w:w="0" w:type="dxa"/>
              <w:left w:w="108" w:type="dxa"/>
              <w:bottom w:w="0" w:type="dxa"/>
              <w:right w:w="108" w:type="dxa"/>
            </w:tcMar>
            <w:vAlign w:val="center"/>
          </w:tcPr>
          <w:p w:rsidR="0043703D" w:rsidRPr="001B7705" w:rsidRDefault="0043703D" w:rsidP="001B7705">
            <w:pPr>
              <w:pStyle w:val="15"/>
              <w:rPr>
                <w:sz w:val="20"/>
                <w:szCs w:val="20"/>
                <w:shd w:val="clear" w:color="auto" w:fill="FFFFFF"/>
                <w:lang w:val="uk-UA" w:eastAsia="en-US"/>
              </w:rPr>
            </w:pPr>
          </w:p>
        </w:tc>
        <w:tc>
          <w:tcPr>
            <w:tcW w:w="1494" w:type="dxa"/>
            <w:tcBorders>
              <w:top w:val="single" w:sz="4" w:space="0" w:color="00000A"/>
              <w:bottom w:val="single" w:sz="4" w:space="0" w:color="00000A"/>
            </w:tcBorders>
            <w:tcMar>
              <w:top w:w="0" w:type="dxa"/>
              <w:left w:w="108" w:type="dxa"/>
              <w:bottom w:w="0" w:type="dxa"/>
              <w:right w:w="108" w:type="dxa"/>
            </w:tcMar>
            <w:vAlign w:val="bottom"/>
          </w:tcPr>
          <w:p w:rsidR="0043703D" w:rsidRDefault="0043703D" w:rsidP="007E7EBF">
            <w:pPr>
              <w:pStyle w:val="Standard"/>
              <w:widowControl w:val="0"/>
              <w:jc w:val="right"/>
              <w:rPr>
                <w:rFonts w:ascii="Times New Roman" w:hAnsi="Times New Roman" w:cs="Times New Roman"/>
                <w:bCs/>
                <w:sz w:val="20"/>
                <w:szCs w:val="20"/>
              </w:rPr>
            </w:pPr>
          </w:p>
        </w:tc>
      </w:tr>
      <w:tr w:rsidR="0043703D" w:rsidTr="001B7705">
        <w:trPr>
          <w:trHeight w:val="20"/>
        </w:trPr>
        <w:tc>
          <w:tcPr>
            <w:tcW w:w="6018" w:type="dxa"/>
            <w:tcBorders>
              <w:bottom w:val="single" w:sz="4" w:space="0" w:color="00000A"/>
              <w:right w:val="single" w:sz="4" w:space="0" w:color="000000"/>
            </w:tcBorders>
            <w:tcMar>
              <w:top w:w="0" w:type="dxa"/>
              <w:left w:w="108" w:type="dxa"/>
              <w:bottom w:w="0" w:type="dxa"/>
              <w:right w:w="108" w:type="dxa"/>
            </w:tcMar>
            <w:vAlign w:val="center"/>
          </w:tcPr>
          <w:p w:rsidR="0043703D" w:rsidRDefault="0043703D" w:rsidP="007E7EBF">
            <w:pPr>
              <w:pStyle w:val="Standard"/>
              <w:ind w:left="459" w:hanging="283"/>
              <w:rPr>
                <w:rFonts w:ascii="Times New Roman" w:hAnsi="Times New Roman" w:cs="Times New Roman"/>
                <w:b/>
                <w:i/>
              </w:rPr>
            </w:pPr>
            <w:r>
              <w:rPr>
                <w:rFonts w:ascii="Times New Roman" w:hAnsi="Times New Roman" w:cs="Times New Roman"/>
                <w:b/>
                <w:i/>
              </w:rPr>
              <w:t xml:space="preserve">               Залишок коштів на кінець року</w:t>
            </w:r>
          </w:p>
        </w:tc>
        <w:tc>
          <w:tcPr>
            <w:tcW w:w="536" w:type="dxa"/>
            <w:tcBorders>
              <w:left w:val="single" w:sz="4" w:space="0" w:color="000000"/>
              <w:bottom w:val="single" w:sz="4" w:space="0" w:color="00000A"/>
            </w:tcBorders>
            <w:tcMar>
              <w:top w:w="0" w:type="dxa"/>
              <w:left w:w="10" w:type="dxa"/>
              <w:bottom w:w="0" w:type="dxa"/>
              <w:right w:w="10" w:type="dxa"/>
            </w:tcMar>
            <w:vAlign w:val="center"/>
          </w:tcPr>
          <w:p w:rsidR="0043703D" w:rsidRDefault="0043703D" w:rsidP="007E7EBF">
            <w:pPr>
              <w:pStyle w:val="Standard"/>
              <w:rPr>
                <w:rFonts w:ascii="Times New Roman" w:hAnsi="Times New Roman" w:cs="Times New Roman"/>
                <w:b/>
                <w:i/>
              </w:rPr>
            </w:pPr>
          </w:p>
        </w:tc>
        <w:tc>
          <w:tcPr>
            <w:tcW w:w="236" w:type="dxa"/>
            <w:vMerge/>
            <w:tcBorders>
              <w:top w:val="single" w:sz="4" w:space="0" w:color="00000A"/>
              <w:left w:val="single" w:sz="4" w:space="0" w:color="000000"/>
              <w:bottom w:val="single" w:sz="4" w:space="0" w:color="00000A"/>
            </w:tcBorders>
            <w:tcMar>
              <w:top w:w="0" w:type="dxa"/>
              <w:left w:w="108" w:type="dxa"/>
              <w:bottom w:w="0" w:type="dxa"/>
              <w:right w:w="108" w:type="dxa"/>
            </w:tcMar>
            <w:vAlign w:val="bottom"/>
          </w:tcPr>
          <w:p w:rsidR="0043703D" w:rsidRDefault="0043703D" w:rsidP="007E7EBF"/>
        </w:tc>
        <w:tc>
          <w:tcPr>
            <w:tcW w:w="854" w:type="dxa"/>
            <w:tcBorders>
              <w:top w:val="single" w:sz="4" w:space="0" w:color="00000A"/>
              <w:left w:val="single" w:sz="4" w:space="0" w:color="000000"/>
              <w:bottom w:val="single" w:sz="4" w:space="0" w:color="00000A"/>
            </w:tcBorders>
            <w:tcMar>
              <w:top w:w="0" w:type="dxa"/>
              <w:left w:w="108" w:type="dxa"/>
              <w:bottom w:w="0" w:type="dxa"/>
              <w:right w:w="108" w:type="dxa"/>
            </w:tcMar>
            <w:vAlign w:val="bottom"/>
          </w:tcPr>
          <w:p w:rsidR="0043703D" w:rsidRPr="001B7705" w:rsidRDefault="00DD20D0" w:rsidP="007E7EBF">
            <w:pPr>
              <w:pStyle w:val="Standard"/>
              <w:widowControl w:val="0"/>
              <w:jc w:val="center"/>
              <w:rPr>
                <w:rFonts w:ascii="Times New Roman" w:hAnsi="Times New Roman" w:cs="Times New Roman"/>
                <w:b/>
                <w:bCs/>
                <w:sz w:val="20"/>
                <w:szCs w:val="20"/>
                <w:lang w:val="ru-RU"/>
              </w:rPr>
            </w:pPr>
            <w:r>
              <w:rPr>
                <w:rFonts w:ascii="Times New Roman" w:hAnsi="Times New Roman" w:cs="Times New Roman"/>
                <w:b/>
                <w:bCs/>
                <w:sz w:val="20"/>
                <w:szCs w:val="20"/>
                <w:lang w:val="ru-RU"/>
              </w:rPr>
              <w:t>250</w:t>
            </w:r>
          </w:p>
        </w:tc>
        <w:tc>
          <w:tcPr>
            <w:tcW w:w="1494" w:type="dxa"/>
            <w:tcBorders>
              <w:top w:val="single" w:sz="4" w:space="0" w:color="00000A"/>
              <w:bottom w:val="single" w:sz="4" w:space="0" w:color="00000A"/>
            </w:tcBorders>
            <w:tcMar>
              <w:top w:w="0" w:type="dxa"/>
              <w:left w:w="108" w:type="dxa"/>
              <w:bottom w:w="0" w:type="dxa"/>
              <w:right w:w="108" w:type="dxa"/>
            </w:tcMar>
            <w:vAlign w:val="center"/>
          </w:tcPr>
          <w:p w:rsidR="0043703D" w:rsidRPr="001B7705" w:rsidRDefault="001B7705" w:rsidP="00720D77">
            <w:pPr>
              <w:pStyle w:val="15"/>
              <w:rPr>
                <w:sz w:val="20"/>
                <w:szCs w:val="20"/>
                <w:shd w:val="clear" w:color="auto" w:fill="FFFFFF"/>
                <w:lang w:val="uk-UA" w:eastAsia="en-US"/>
              </w:rPr>
            </w:pPr>
            <w:r w:rsidRPr="001B7705">
              <w:rPr>
                <w:sz w:val="20"/>
                <w:szCs w:val="20"/>
                <w:shd w:val="clear" w:color="auto" w:fill="FFFFFF"/>
                <w:lang w:val="uk-UA" w:eastAsia="en-US"/>
              </w:rPr>
              <w:t>34</w:t>
            </w:r>
          </w:p>
        </w:tc>
        <w:tc>
          <w:tcPr>
            <w:tcW w:w="1494" w:type="dxa"/>
            <w:tcBorders>
              <w:top w:val="single" w:sz="4" w:space="0" w:color="00000A"/>
              <w:bottom w:val="single" w:sz="4" w:space="0" w:color="00000A"/>
            </w:tcBorders>
            <w:tcMar>
              <w:top w:w="0" w:type="dxa"/>
              <w:left w:w="108" w:type="dxa"/>
              <w:bottom w:w="0" w:type="dxa"/>
              <w:right w:w="108" w:type="dxa"/>
            </w:tcMar>
            <w:vAlign w:val="bottom"/>
          </w:tcPr>
          <w:p w:rsidR="0043703D" w:rsidRDefault="0043703D" w:rsidP="007E7EBF">
            <w:pPr>
              <w:pStyle w:val="Standard"/>
              <w:widowControl w:val="0"/>
              <w:jc w:val="right"/>
              <w:rPr>
                <w:rFonts w:ascii="Times New Roman" w:hAnsi="Times New Roman" w:cs="Times New Roman"/>
                <w:bCs/>
                <w:sz w:val="20"/>
                <w:szCs w:val="20"/>
              </w:rPr>
            </w:pPr>
          </w:p>
        </w:tc>
      </w:tr>
    </w:tbl>
    <w:p w:rsidR="0043703D" w:rsidRPr="0043703D" w:rsidRDefault="0043703D" w:rsidP="0043703D">
      <w:pPr>
        <w:pStyle w:val="Standard"/>
        <w:widowControl w:val="0"/>
        <w:jc w:val="both"/>
        <w:rPr>
          <w:rFonts w:ascii="Times New Roman" w:hAnsi="Times New Roman" w:cs="Times New Roman"/>
          <w:lang w:val="ru-RU"/>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9550D6" w:rsidRDefault="009550D6" w:rsidP="00B80387">
      <w:pPr>
        <w:pStyle w:val="Textbody"/>
        <w:rPr>
          <w:lang w:val="uk-UA" w:eastAsia="uk-UA"/>
        </w:rPr>
      </w:pPr>
    </w:p>
    <w:p w:rsidR="009550D6" w:rsidRDefault="009550D6" w:rsidP="00B80387">
      <w:pPr>
        <w:pStyle w:val="Textbody"/>
        <w:rPr>
          <w:lang w:val="uk-UA" w:eastAsia="uk-UA"/>
        </w:rPr>
      </w:pPr>
    </w:p>
    <w:p w:rsidR="009550D6" w:rsidRDefault="009550D6" w:rsidP="00B80387">
      <w:pPr>
        <w:pStyle w:val="Textbody"/>
        <w:rPr>
          <w:lang w:val="uk-UA" w:eastAsia="uk-UA"/>
        </w:rPr>
      </w:pPr>
    </w:p>
    <w:p w:rsidR="009550D6" w:rsidRDefault="009550D6" w:rsidP="00B80387">
      <w:pPr>
        <w:pStyle w:val="Textbody"/>
        <w:rPr>
          <w:lang w:val="uk-UA" w:eastAsia="uk-UA"/>
        </w:rPr>
      </w:pPr>
    </w:p>
    <w:p w:rsidR="00B80387" w:rsidRDefault="00B80387" w:rsidP="00B80387">
      <w:pPr>
        <w:pStyle w:val="Textbody"/>
        <w:rPr>
          <w:lang w:val="uk-UA" w:eastAsia="uk-UA"/>
        </w:rPr>
      </w:pPr>
    </w:p>
    <w:p w:rsidR="00B80387" w:rsidRDefault="00B80387" w:rsidP="00B80387">
      <w:pPr>
        <w:pStyle w:val="Textbody"/>
        <w:rPr>
          <w:lang w:val="uk-UA" w:eastAsia="uk-UA"/>
        </w:rPr>
      </w:pPr>
    </w:p>
    <w:p w:rsidR="00B80387" w:rsidRPr="008448A8" w:rsidRDefault="00B80387" w:rsidP="00B80387">
      <w:pPr>
        <w:pStyle w:val="Textbody"/>
        <w:rPr>
          <w:lang w:val="uk-UA" w:eastAsia="uk-UA"/>
        </w:rPr>
      </w:pPr>
    </w:p>
    <w:p w:rsidR="00B80387" w:rsidRPr="00A26AFB" w:rsidRDefault="00B80387" w:rsidP="00B80387">
      <w:pPr>
        <w:pStyle w:val="11"/>
        <w:spacing w:before="0"/>
        <w:jc w:val="center"/>
        <w:outlineLvl w:val="9"/>
        <w:rPr>
          <w:rFonts w:ascii="Times New Roman" w:hAnsi="Times New Roman" w:cs="Times New Roman"/>
          <w:color w:val="FF0000"/>
        </w:rPr>
      </w:pPr>
      <w:r w:rsidRPr="00986675">
        <w:rPr>
          <w:rFonts w:ascii="Times New Roman" w:hAnsi="Times New Roman" w:cs="Times New Roman"/>
          <w:color w:val="auto"/>
        </w:rPr>
        <w:t xml:space="preserve">Звіт </w:t>
      </w:r>
      <w:r w:rsidRPr="00913717">
        <w:rPr>
          <w:rFonts w:ascii="Times New Roman" w:hAnsi="Times New Roman" w:cs="Times New Roman"/>
          <w:color w:val="auto"/>
        </w:rPr>
        <w:t>про  рух власного капіталу</w:t>
      </w:r>
    </w:p>
    <w:p w:rsidR="00B80387" w:rsidRPr="00986675" w:rsidRDefault="00B80387" w:rsidP="00B80387">
      <w:pPr>
        <w:pStyle w:val="Standard"/>
        <w:rPr>
          <w:rFonts w:ascii="Times New Roman" w:hAnsi="Times New Roman" w:cs="Times New Roman"/>
        </w:rPr>
      </w:pPr>
    </w:p>
    <w:p w:rsidR="00B80387" w:rsidRPr="00986675" w:rsidRDefault="00B80387" w:rsidP="00B80387">
      <w:pPr>
        <w:pStyle w:val="Standard"/>
        <w:rPr>
          <w:rFonts w:ascii="Times New Roman" w:hAnsi="Times New Roman" w:cs="Times New Roman"/>
          <w:sz w:val="20"/>
          <w:szCs w:val="20"/>
        </w:rPr>
      </w:pPr>
      <w:r w:rsidRPr="00986675">
        <w:rPr>
          <w:rFonts w:ascii="Times New Roman" w:hAnsi="Times New Roman" w:cs="Times New Roman"/>
          <w:sz w:val="20"/>
          <w:szCs w:val="20"/>
        </w:rPr>
        <w:t>за рік, що закінчився 31 грудня 201</w:t>
      </w:r>
      <w:r>
        <w:rPr>
          <w:rFonts w:ascii="Times New Roman" w:hAnsi="Times New Roman" w:cs="Times New Roman"/>
          <w:sz w:val="20"/>
          <w:szCs w:val="20"/>
        </w:rPr>
        <w:t>9</w:t>
      </w:r>
      <w:r w:rsidRPr="00986675">
        <w:rPr>
          <w:rFonts w:ascii="Times New Roman" w:hAnsi="Times New Roman" w:cs="Times New Roman"/>
          <w:sz w:val="20"/>
          <w:szCs w:val="20"/>
        </w:rPr>
        <w:t xml:space="preserve"> року</w:t>
      </w:r>
    </w:p>
    <w:p w:rsidR="00B80387" w:rsidRPr="00986675" w:rsidRDefault="00B80387" w:rsidP="00B80387">
      <w:pPr>
        <w:pStyle w:val="Standard"/>
        <w:rPr>
          <w:rFonts w:ascii="Times New Roman" w:hAnsi="Times New Roman" w:cs="Times New Roman"/>
          <w:sz w:val="20"/>
          <w:szCs w:val="20"/>
        </w:rPr>
      </w:pPr>
      <w:r w:rsidRPr="00986675">
        <w:rPr>
          <w:rFonts w:ascii="Times New Roman" w:hAnsi="Times New Roman" w:cs="Times New Roman"/>
          <w:sz w:val="20"/>
          <w:szCs w:val="20"/>
        </w:rPr>
        <w:t>(в тис. гривень)</w:t>
      </w:r>
    </w:p>
    <w:tbl>
      <w:tblPr>
        <w:tblW w:w="10207" w:type="dxa"/>
        <w:tblInd w:w="250" w:type="dxa"/>
        <w:tblLayout w:type="fixed"/>
        <w:tblLook w:val="0000"/>
      </w:tblPr>
      <w:tblGrid>
        <w:gridCol w:w="2976"/>
        <w:gridCol w:w="1135"/>
        <w:gridCol w:w="1135"/>
        <w:gridCol w:w="850"/>
        <w:gridCol w:w="851"/>
        <w:gridCol w:w="1276"/>
        <w:gridCol w:w="992"/>
        <w:gridCol w:w="992"/>
      </w:tblGrid>
      <w:tr w:rsidR="00B80387" w:rsidRPr="00986675" w:rsidTr="00B80387">
        <w:trPr>
          <w:trHeight w:val="910"/>
        </w:trPr>
        <w:tc>
          <w:tcPr>
            <w:tcW w:w="2976" w:type="dxa"/>
            <w:tcBorders>
              <w:bottom w:val="single" w:sz="4" w:space="0" w:color="00000A"/>
            </w:tcBorders>
            <w:tcMar>
              <w:top w:w="0" w:type="dxa"/>
              <w:left w:w="108" w:type="dxa"/>
              <w:bottom w:w="0" w:type="dxa"/>
              <w:right w:w="108" w:type="dxa"/>
            </w:tcMar>
            <w:vAlign w:val="center"/>
          </w:tcPr>
          <w:p w:rsidR="00B80387" w:rsidRPr="00986675" w:rsidRDefault="00B80387" w:rsidP="00C64983">
            <w:pPr>
              <w:pStyle w:val="Standard"/>
              <w:widowControl w:val="0"/>
              <w:jc w:val="center"/>
              <w:rPr>
                <w:rFonts w:ascii="Times New Roman" w:hAnsi="Times New Roman" w:cs="Times New Roman"/>
                <w:sz w:val="20"/>
                <w:szCs w:val="20"/>
              </w:rPr>
            </w:pPr>
          </w:p>
        </w:tc>
        <w:tc>
          <w:tcPr>
            <w:tcW w:w="1135" w:type="dxa"/>
            <w:tcBorders>
              <w:bottom w:val="single" w:sz="4" w:space="0" w:color="auto"/>
            </w:tcBorders>
          </w:tcPr>
          <w:p w:rsidR="00B80387" w:rsidRDefault="00B80387" w:rsidP="00C64983">
            <w:pPr>
              <w:pStyle w:val="Standard"/>
              <w:widowControl w:val="0"/>
              <w:jc w:val="center"/>
              <w:rPr>
                <w:rFonts w:ascii="Times New Roman" w:hAnsi="Times New Roman" w:cs="Times New Roman"/>
                <w:b/>
                <w:bCs/>
                <w:sz w:val="20"/>
                <w:szCs w:val="20"/>
              </w:rPr>
            </w:pPr>
          </w:p>
          <w:p w:rsidR="00B80387" w:rsidRDefault="00B80387" w:rsidP="00C64983">
            <w:pPr>
              <w:pStyle w:val="Standard"/>
              <w:widowControl w:val="0"/>
              <w:jc w:val="center"/>
              <w:rPr>
                <w:rFonts w:ascii="Times New Roman" w:hAnsi="Times New Roman" w:cs="Times New Roman"/>
                <w:b/>
                <w:bCs/>
                <w:sz w:val="20"/>
                <w:szCs w:val="20"/>
              </w:rPr>
            </w:pPr>
          </w:p>
          <w:p w:rsidR="00B80387" w:rsidRPr="00986675" w:rsidRDefault="00B80387" w:rsidP="00C64983">
            <w:pPr>
              <w:pStyle w:val="Standard"/>
              <w:widowControl w:val="0"/>
              <w:jc w:val="center"/>
              <w:rPr>
                <w:rFonts w:ascii="Times New Roman" w:hAnsi="Times New Roman" w:cs="Times New Roman"/>
                <w:b/>
                <w:bCs/>
                <w:sz w:val="20"/>
                <w:szCs w:val="20"/>
              </w:rPr>
            </w:pPr>
            <w:r>
              <w:rPr>
                <w:rFonts w:ascii="Times New Roman" w:hAnsi="Times New Roman" w:cs="Times New Roman"/>
                <w:b/>
                <w:bCs/>
                <w:sz w:val="20"/>
                <w:szCs w:val="20"/>
              </w:rPr>
              <w:t>Проимітки</w:t>
            </w:r>
          </w:p>
        </w:tc>
        <w:tc>
          <w:tcPr>
            <w:tcW w:w="1135" w:type="dxa"/>
            <w:tcBorders>
              <w:bottom w:val="single" w:sz="4" w:space="0" w:color="auto"/>
            </w:tcBorders>
            <w:tcMar>
              <w:top w:w="0" w:type="dxa"/>
              <w:left w:w="108" w:type="dxa"/>
              <w:bottom w:w="0" w:type="dxa"/>
              <w:right w:w="108" w:type="dxa"/>
            </w:tcMar>
            <w:vAlign w:val="center"/>
          </w:tcPr>
          <w:p w:rsidR="00B80387" w:rsidRPr="00986675" w:rsidRDefault="00B80387" w:rsidP="00C64983">
            <w:pPr>
              <w:pStyle w:val="Standard"/>
              <w:widowControl w:val="0"/>
              <w:jc w:val="center"/>
              <w:rPr>
                <w:rFonts w:ascii="Times New Roman" w:hAnsi="Times New Roman" w:cs="Times New Roman"/>
                <w:b/>
                <w:bCs/>
                <w:sz w:val="20"/>
                <w:szCs w:val="20"/>
              </w:rPr>
            </w:pPr>
            <w:r w:rsidRPr="00986675">
              <w:rPr>
                <w:rFonts w:ascii="Times New Roman" w:hAnsi="Times New Roman" w:cs="Times New Roman"/>
                <w:b/>
                <w:bCs/>
                <w:sz w:val="20"/>
                <w:szCs w:val="20"/>
              </w:rPr>
              <w:t>Зареєстрований (пайовий) капітал</w:t>
            </w:r>
          </w:p>
        </w:tc>
        <w:tc>
          <w:tcPr>
            <w:tcW w:w="850" w:type="dxa"/>
            <w:tcBorders>
              <w:bottom w:val="single" w:sz="4" w:space="0" w:color="auto"/>
            </w:tcBorders>
            <w:tcMar>
              <w:top w:w="0" w:type="dxa"/>
              <w:left w:w="108" w:type="dxa"/>
              <w:bottom w:w="0" w:type="dxa"/>
              <w:right w:w="108" w:type="dxa"/>
            </w:tcMar>
            <w:vAlign w:val="center"/>
          </w:tcPr>
          <w:p w:rsidR="00B80387" w:rsidRPr="00986675" w:rsidRDefault="00B80387" w:rsidP="00C64983">
            <w:pPr>
              <w:pStyle w:val="Standard"/>
              <w:widowControl w:val="0"/>
              <w:jc w:val="center"/>
              <w:rPr>
                <w:rFonts w:ascii="Times New Roman" w:hAnsi="Times New Roman" w:cs="Times New Roman"/>
                <w:b/>
                <w:bCs/>
                <w:sz w:val="20"/>
                <w:szCs w:val="20"/>
              </w:rPr>
            </w:pPr>
            <w:r w:rsidRPr="00986675">
              <w:rPr>
                <w:rFonts w:ascii="Times New Roman" w:hAnsi="Times New Roman" w:cs="Times New Roman"/>
                <w:b/>
                <w:bCs/>
                <w:sz w:val="20"/>
                <w:szCs w:val="20"/>
              </w:rPr>
              <w:t>Резервний капітал</w:t>
            </w:r>
          </w:p>
        </w:tc>
        <w:tc>
          <w:tcPr>
            <w:tcW w:w="851" w:type="dxa"/>
            <w:tcBorders>
              <w:bottom w:val="single" w:sz="4" w:space="0" w:color="auto"/>
            </w:tcBorders>
            <w:vAlign w:val="center"/>
          </w:tcPr>
          <w:p w:rsidR="00B80387" w:rsidRPr="00986675" w:rsidRDefault="00B80387" w:rsidP="00C64983">
            <w:pPr>
              <w:pStyle w:val="Standard"/>
              <w:widowControl w:val="0"/>
              <w:jc w:val="center"/>
              <w:rPr>
                <w:rFonts w:ascii="Times New Roman" w:hAnsi="Times New Roman" w:cs="Times New Roman"/>
                <w:b/>
                <w:bCs/>
                <w:sz w:val="20"/>
                <w:szCs w:val="20"/>
              </w:rPr>
            </w:pPr>
            <w:r>
              <w:rPr>
                <w:rFonts w:ascii="Times New Roman" w:hAnsi="Times New Roman" w:cs="Times New Roman"/>
                <w:b/>
                <w:bCs/>
                <w:sz w:val="20"/>
                <w:szCs w:val="20"/>
              </w:rPr>
              <w:t>Капітал у дооцінках</w:t>
            </w:r>
          </w:p>
        </w:tc>
        <w:tc>
          <w:tcPr>
            <w:tcW w:w="1276" w:type="dxa"/>
            <w:tcBorders>
              <w:bottom w:val="single" w:sz="4" w:space="0" w:color="auto"/>
            </w:tcBorders>
            <w:tcMar>
              <w:top w:w="0" w:type="dxa"/>
              <w:left w:w="108" w:type="dxa"/>
              <w:bottom w:w="0" w:type="dxa"/>
              <w:right w:w="108" w:type="dxa"/>
            </w:tcMar>
            <w:vAlign w:val="center"/>
          </w:tcPr>
          <w:p w:rsidR="00B80387" w:rsidRPr="00986675" w:rsidRDefault="00B80387" w:rsidP="00C64983">
            <w:pPr>
              <w:pStyle w:val="Standard"/>
              <w:widowControl w:val="0"/>
              <w:jc w:val="center"/>
              <w:rPr>
                <w:rFonts w:ascii="Times New Roman" w:hAnsi="Times New Roman" w:cs="Times New Roman"/>
                <w:b/>
                <w:bCs/>
                <w:sz w:val="20"/>
                <w:szCs w:val="20"/>
              </w:rPr>
            </w:pPr>
            <w:r w:rsidRPr="00986675">
              <w:rPr>
                <w:rFonts w:ascii="Times New Roman" w:hAnsi="Times New Roman" w:cs="Times New Roman"/>
                <w:b/>
                <w:bCs/>
                <w:sz w:val="20"/>
                <w:szCs w:val="20"/>
              </w:rPr>
              <w:t>Нерозподілений прибуток (непокритий збиток)</w:t>
            </w:r>
          </w:p>
        </w:tc>
        <w:tc>
          <w:tcPr>
            <w:tcW w:w="992" w:type="dxa"/>
            <w:tcBorders>
              <w:bottom w:val="single" w:sz="4" w:space="0" w:color="auto"/>
            </w:tcBorders>
            <w:vAlign w:val="center"/>
          </w:tcPr>
          <w:p w:rsidR="00B80387" w:rsidRPr="00986675" w:rsidRDefault="00B80387" w:rsidP="00C64983">
            <w:pPr>
              <w:pStyle w:val="Standard"/>
              <w:widowControl w:val="0"/>
              <w:jc w:val="center"/>
              <w:rPr>
                <w:rFonts w:ascii="Times New Roman" w:hAnsi="Times New Roman" w:cs="Times New Roman"/>
                <w:b/>
                <w:sz w:val="20"/>
                <w:szCs w:val="20"/>
              </w:rPr>
            </w:pPr>
            <w:r>
              <w:rPr>
                <w:rFonts w:ascii="Times New Roman" w:hAnsi="Times New Roman" w:cs="Times New Roman"/>
                <w:b/>
                <w:sz w:val="20"/>
                <w:szCs w:val="20"/>
              </w:rPr>
              <w:t>Додатковий капітал</w:t>
            </w:r>
          </w:p>
        </w:tc>
        <w:tc>
          <w:tcPr>
            <w:tcW w:w="992" w:type="dxa"/>
            <w:tcBorders>
              <w:bottom w:val="single" w:sz="4" w:space="0" w:color="auto"/>
            </w:tcBorders>
            <w:tcMar>
              <w:top w:w="0" w:type="dxa"/>
              <w:left w:w="108" w:type="dxa"/>
              <w:bottom w:w="0" w:type="dxa"/>
              <w:right w:w="108" w:type="dxa"/>
            </w:tcMar>
            <w:vAlign w:val="center"/>
          </w:tcPr>
          <w:p w:rsidR="00B80387" w:rsidRPr="00986675" w:rsidRDefault="00B80387" w:rsidP="00C64983">
            <w:pPr>
              <w:pStyle w:val="Standard"/>
              <w:widowControl w:val="0"/>
              <w:jc w:val="center"/>
              <w:rPr>
                <w:rFonts w:ascii="Times New Roman" w:hAnsi="Times New Roman" w:cs="Times New Roman"/>
                <w:b/>
                <w:sz w:val="20"/>
                <w:szCs w:val="20"/>
              </w:rPr>
            </w:pPr>
            <w:r w:rsidRPr="00986675">
              <w:rPr>
                <w:rFonts w:ascii="Times New Roman" w:hAnsi="Times New Roman" w:cs="Times New Roman"/>
                <w:b/>
                <w:sz w:val="20"/>
                <w:szCs w:val="20"/>
              </w:rPr>
              <w:t>Всього</w:t>
            </w: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
                <w:bCs/>
                <w:sz w:val="20"/>
                <w:szCs w:val="20"/>
              </w:rPr>
            </w:pPr>
            <w:r w:rsidRPr="002315A7">
              <w:rPr>
                <w:rFonts w:ascii="Times New Roman" w:hAnsi="Times New Roman" w:cs="Times New Roman"/>
                <w:b/>
                <w:bCs/>
                <w:sz w:val="20"/>
                <w:szCs w:val="20"/>
              </w:rPr>
              <w:t>Залишок на початок 2018року</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sz w:val="20"/>
                <w:szCs w:val="20"/>
              </w:rPr>
            </w:pPr>
            <w:r w:rsidRPr="002315A7">
              <w:rPr>
                <w:rFonts w:ascii="Times New Roman" w:hAnsi="Times New Roman" w:cs="Times New Roman"/>
                <w:b/>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8442A5" w:rsidP="00C64983">
            <w:pPr>
              <w:pStyle w:val="Standard"/>
              <w:widowControl w:val="0"/>
              <w:jc w:val="center"/>
              <w:rPr>
                <w:rFonts w:ascii="Times New Roman" w:hAnsi="Times New Roman" w:cs="Times New Roman"/>
                <w:b/>
                <w:sz w:val="20"/>
                <w:szCs w:val="20"/>
              </w:rPr>
            </w:pPr>
            <w:r>
              <w:rPr>
                <w:rFonts w:ascii="Times New Roman" w:hAnsi="Times New Roman" w:cs="Times New Roman"/>
                <w:b/>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8442A5" w:rsidP="00C64983">
            <w:pPr>
              <w:pStyle w:val="Standard"/>
              <w:widowControl w:val="0"/>
              <w:jc w:val="center"/>
              <w:rPr>
                <w:rFonts w:ascii="Times New Roman" w:hAnsi="Times New Roman" w:cs="Times New Roman"/>
                <w:b/>
                <w:sz w:val="20"/>
                <w:szCs w:val="20"/>
              </w:rPr>
            </w:pPr>
            <w:r>
              <w:rPr>
                <w:rFonts w:ascii="Times New Roman" w:hAnsi="Times New Roman" w:cs="Times New Roman"/>
                <w:b/>
                <w:sz w:val="20"/>
                <w:szCs w:val="20"/>
              </w:rPr>
              <w:t>709</w:t>
            </w:r>
          </w:p>
        </w:tc>
        <w:tc>
          <w:tcPr>
            <w:tcW w:w="992"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b/>
                <w:sz w:val="20"/>
                <w:szCs w:val="20"/>
              </w:rPr>
            </w:pPr>
            <w:r w:rsidRPr="002315A7">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8442A5" w:rsidP="00C64983">
            <w:pPr>
              <w:pStyle w:val="Standard"/>
              <w:widowControl w:val="0"/>
              <w:jc w:val="center"/>
              <w:rPr>
                <w:rFonts w:ascii="Times New Roman" w:hAnsi="Times New Roman" w:cs="Times New Roman"/>
                <w:b/>
                <w:sz w:val="20"/>
                <w:szCs w:val="20"/>
              </w:rPr>
            </w:pPr>
            <w:r>
              <w:rPr>
                <w:rFonts w:ascii="Times New Roman" w:hAnsi="Times New Roman" w:cs="Times New Roman"/>
                <w:b/>
                <w:sz w:val="20"/>
                <w:szCs w:val="20"/>
              </w:rPr>
              <w:t>1716</w:t>
            </w: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Cs/>
                <w:sz w:val="20"/>
                <w:szCs w:val="20"/>
              </w:rPr>
            </w:pPr>
            <w:r w:rsidRPr="002315A7">
              <w:rPr>
                <w:rFonts w:ascii="Times New Roman" w:hAnsi="Times New Roman" w:cs="Times New Roman"/>
                <w:bCs/>
                <w:sz w:val="20"/>
                <w:szCs w:val="20"/>
              </w:rPr>
              <w:t>Коригування</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Cs/>
                <w:sz w:val="20"/>
                <w:szCs w:val="20"/>
              </w:rPr>
            </w:pPr>
            <w:r w:rsidRPr="002315A7">
              <w:rPr>
                <w:rFonts w:ascii="Times New Roman" w:hAnsi="Times New Roman" w:cs="Times New Roman"/>
                <w:bCs/>
                <w:sz w:val="20"/>
                <w:szCs w:val="20"/>
              </w:rPr>
              <w:t xml:space="preserve">Скоригований залишок на </w:t>
            </w:r>
            <w:r w:rsidRPr="002315A7">
              <w:rPr>
                <w:rFonts w:ascii="Times New Roman" w:hAnsi="Times New Roman" w:cs="Times New Roman"/>
                <w:sz w:val="20"/>
                <w:szCs w:val="20"/>
              </w:rPr>
              <w:t xml:space="preserve"> </w:t>
            </w:r>
            <w:r w:rsidRPr="002315A7">
              <w:rPr>
                <w:rFonts w:ascii="Times New Roman" w:hAnsi="Times New Roman" w:cs="Times New Roman"/>
                <w:bCs/>
                <w:sz w:val="20"/>
                <w:szCs w:val="20"/>
              </w:rPr>
              <w:t>початок 2018  року</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sidRPr="002315A7">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709</w:t>
            </w:r>
          </w:p>
        </w:tc>
        <w:tc>
          <w:tcPr>
            <w:tcW w:w="992"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1716</w:t>
            </w: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Cs/>
                <w:sz w:val="20"/>
                <w:szCs w:val="20"/>
              </w:rPr>
            </w:pPr>
            <w:r w:rsidRPr="002315A7">
              <w:rPr>
                <w:rFonts w:ascii="Times New Roman" w:hAnsi="Times New Roman" w:cs="Times New Roman"/>
                <w:bCs/>
                <w:sz w:val="20"/>
                <w:szCs w:val="20"/>
              </w:rPr>
              <w:t>Чистий прибуток (збиток) за звітний період</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50</w:t>
            </w: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sz w:val="20"/>
                <w:szCs w:val="20"/>
              </w:rPr>
            </w:pPr>
            <w:r w:rsidRPr="002315A7">
              <w:rPr>
                <w:rFonts w:ascii="Times New Roman" w:hAnsi="Times New Roman" w:cs="Times New Roman"/>
                <w:sz w:val="20"/>
                <w:szCs w:val="20"/>
              </w:rPr>
              <w:t>Відрахування до резервного капіталу</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Cs/>
                <w:sz w:val="20"/>
                <w:szCs w:val="20"/>
              </w:rPr>
            </w:pPr>
            <w:r w:rsidRPr="002315A7">
              <w:rPr>
                <w:rFonts w:ascii="Times New Roman" w:hAnsi="Times New Roman" w:cs="Times New Roman"/>
                <w:bCs/>
                <w:sz w:val="20"/>
                <w:szCs w:val="20"/>
              </w:rPr>
              <w:t>Разом змін в капіталі</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50</w:t>
            </w: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
                <w:bCs/>
                <w:i/>
                <w:sz w:val="20"/>
                <w:szCs w:val="20"/>
              </w:rPr>
            </w:pPr>
            <w:r w:rsidRPr="002315A7">
              <w:rPr>
                <w:rFonts w:ascii="Times New Roman" w:hAnsi="Times New Roman" w:cs="Times New Roman"/>
                <w:b/>
                <w:bCs/>
                <w:i/>
                <w:sz w:val="20"/>
                <w:szCs w:val="20"/>
              </w:rPr>
              <w:t>Залишок на кінець  2018 року</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sidRPr="002315A7">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759</w:t>
            </w:r>
          </w:p>
        </w:tc>
        <w:tc>
          <w:tcPr>
            <w:tcW w:w="992"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r w:rsidRPr="002315A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B80387">
            <w:pPr>
              <w:pStyle w:val="Standard"/>
              <w:widowControl w:val="0"/>
              <w:jc w:val="center"/>
              <w:rPr>
                <w:rFonts w:ascii="Times New Roman" w:hAnsi="Times New Roman" w:cs="Times New Roman"/>
                <w:sz w:val="20"/>
                <w:szCs w:val="20"/>
              </w:rPr>
            </w:pPr>
            <w:r w:rsidRPr="002315A7">
              <w:rPr>
                <w:rFonts w:ascii="Times New Roman" w:hAnsi="Times New Roman" w:cs="Times New Roman"/>
                <w:sz w:val="20"/>
                <w:szCs w:val="20"/>
              </w:rPr>
              <w:t>1</w:t>
            </w:r>
            <w:r>
              <w:rPr>
                <w:rFonts w:ascii="Times New Roman" w:hAnsi="Times New Roman" w:cs="Times New Roman"/>
                <w:sz w:val="20"/>
                <w:szCs w:val="20"/>
              </w:rPr>
              <w:t>766</w:t>
            </w: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
                <w:bCs/>
                <w:sz w:val="20"/>
                <w:szCs w:val="20"/>
              </w:rPr>
            </w:pPr>
            <w:r w:rsidRPr="002315A7">
              <w:rPr>
                <w:rFonts w:ascii="Times New Roman" w:hAnsi="Times New Roman" w:cs="Times New Roman"/>
                <w:b/>
                <w:bCs/>
                <w:sz w:val="20"/>
                <w:szCs w:val="20"/>
              </w:rPr>
              <w:t>Залишок на початок 2019 року</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b/>
                <w:bCs/>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bCs/>
                <w:sz w:val="20"/>
                <w:szCs w:val="20"/>
              </w:rPr>
            </w:pPr>
            <w:r w:rsidRPr="002315A7">
              <w:rPr>
                <w:rFonts w:ascii="Times New Roman" w:hAnsi="Times New Roman" w:cs="Times New Roman"/>
                <w:b/>
                <w:bCs/>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bCs/>
                <w:sz w:val="20"/>
                <w:szCs w:val="20"/>
              </w:rPr>
            </w:pPr>
            <w:r>
              <w:rPr>
                <w:rFonts w:ascii="Times New Roman" w:hAnsi="Times New Roman" w:cs="Times New Roman"/>
                <w:b/>
                <w:bCs/>
                <w:sz w:val="20"/>
                <w:szCs w:val="20"/>
              </w:rPr>
              <w:t>759</w:t>
            </w:r>
          </w:p>
        </w:tc>
        <w:tc>
          <w:tcPr>
            <w:tcW w:w="992"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b/>
                <w:bCs/>
                <w:sz w:val="20"/>
                <w:szCs w:val="20"/>
              </w:rPr>
            </w:pPr>
            <w:r w:rsidRPr="002315A7">
              <w:rPr>
                <w:rFonts w:ascii="Times New Roman" w:hAnsi="Times New Roman" w:cs="Times New Roman"/>
                <w:b/>
                <w:bCs/>
                <w:sz w:val="20"/>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bCs/>
                <w:sz w:val="20"/>
                <w:szCs w:val="20"/>
              </w:rPr>
            </w:pPr>
            <w:r>
              <w:rPr>
                <w:rFonts w:ascii="Times New Roman" w:hAnsi="Times New Roman" w:cs="Times New Roman"/>
                <w:b/>
                <w:bCs/>
                <w:sz w:val="20"/>
                <w:szCs w:val="20"/>
              </w:rPr>
              <w:t>1766</w:t>
            </w: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Cs/>
                <w:sz w:val="20"/>
                <w:szCs w:val="20"/>
              </w:rPr>
            </w:pPr>
            <w:r w:rsidRPr="002315A7">
              <w:rPr>
                <w:rFonts w:ascii="Times New Roman" w:hAnsi="Times New Roman" w:cs="Times New Roman"/>
                <w:bCs/>
                <w:sz w:val="20"/>
                <w:szCs w:val="20"/>
              </w:rPr>
              <w:t>Коригування</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r>
      <w:tr w:rsidR="00B80387" w:rsidRPr="002315A7" w:rsidTr="00B80387">
        <w:trPr>
          <w:trHeight w:val="270"/>
        </w:trPr>
        <w:tc>
          <w:tcPr>
            <w:tcW w:w="2976" w:type="dxa"/>
            <w:tcBorders>
              <w:top w:val="single" w:sz="4" w:space="0" w:color="00000A"/>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Cs/>
                <w:sz w:val="20"/>
                <w:szCs w:val="20"/>
              </w:rPr>
            </w:pPr>
            <w:r w:rsidRPr="002315A7">
              <w:rPr>
                <w:rFonts w:ascii="Times New Roman" w:hAnsi="Times New Roman" w:cs="Times New Roman"/>
                <w:bCs/>
                <w:sz w:val="20"/>
                <w:szCs w:val="20"/>
              </w:rPr>
              <w:t xml:space="preserve">Скоригований залишок на </w:t>
            </w:r>
            <w:r w:rsidRPr="002315A7">
              <w:rPr>
                <w:rFonts w:ascii="Times New Roman" w:hAnsi="Times New Roman" w:cs="Times New Roman"/>
                <w:sz w:val="20"/>
                <w:szCs w:val="20"/>
              </w:rPr>
              <w:t xml:space="preserve"> </w:t>
            </w:r>
            <w:r w:rsidRPr="002315A7">
              <w:rPr>
                <w:rFonts w:ascii="Times New Roman" w:hAnsi="Times New Roman" w:cs="Times New Roman"/>
                <w:bCs/>
                <w:sz w:val="20"/>
                <w:szCs w:val="20"/>
              </w:rPr>
              <w:t>початок  2019року</w:t>
            </w:r>
          </w:p>
        </w:tc>
        <w:tc>
          <w:tcPr>
            <w:tcW w:w="1135" w:type="dxa"/>
            <w:tcBorders>
              <w:top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sidRPr="002315A7">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759</w:t>
            </w:r>
          </w:p>
        </w:tc>
        <w:tc>
          <w:tcPr>
            <w:tcW w:w="992"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r w:rsidRPr="002315A7">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1766</w:t>
            </w:r>
          </w:p>
        </w:tc>
      </w:tr>
      <w:tr w:rsidR="00B80387" w:rsidRPr="002315A7" w:rsidTr="00B80387">
        <w:trPr>
          <w:trHeight w:val="270"/>
        </w:trPr>
        <w:tc>
          <w:tcPr>
            <w:tcW w:w="2976" w:type="dxa"/>
            <w:tcBorders>
              <w:top w:val="single" w:sz="4" w:space="0" w:color="00000A"/>
              <w:bottom w:val="single" w:sz="4" w:space="0" w:color="auto"/>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Cs/>
                <w:sz w:val="20"/>
                <w:szCs w:val="20"/>
              </w:rPr>
            </w:pPr>
            <w:r w:rsidRPr="002315A7">
              <w:rPr>
                <w:rFonts w:ascii="Times New Roman" w:hAnsi="Times New Roman" w:cs="Times New Roman"/>
                <w:bCs/>
                <w:sz w:val="20"/>
                <w:szCs w:val="20"/>
              </w:rPr>
              <w:t>Чистий прибуток (збиток) за звітний період</w:t>
            </w:r>
          </w:p>
        </w:tc>
        <w:tc>
          <w:tcPr>
            <w:tcW w:w="1135" w:type="dxa"/>
            <w:tcBorders>
              <w:top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3.2.1.</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31</w:t>
            </w:r>
          </w:p>
        </w:tc>
      </w:tr>
      <w:tr w:rsidR="00B80387" w:rsidRPr="002315A7" w:rsidTr="00B80387">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sz w:val="20"/>
                <w:szCs w:val="20"/>
              </w:rPr>
            </w:pPr>
            <w:r w:rsidRPr="002315A7">
              <w:rPr>
                <w:rFonts w:ascii="Times New Roman" w:hAnsi="Times New Roman" w:cs="Times New Roman"/>
                <w:sz w:val="20"/>
                <w:szCs w:val="20"/>
              </w:rPr>
              <w:t>Відрахування до резервного капіталу</w:t>
            </w:r>
          </w:p>
        </w:tc>
        <w:tc>
          <w:tcPr>
            <w:tcW w:w="1135"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r>
      <w:tr w:rsidR="00B80387" w:rsidRPr="002315A7" w:rsidTr="00B80387">
        <w:trPr>
          <w:trHeight w:val="270"/>
        </w:trPr>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sz w:val="20"/>
                <w:szCs w:val="20"/>
              </w:rPr>
            </w:pPr>
            <w:r w:rsidRPr="002315A7">
              <w:rPr>
                <w:rFonts w:ascii="Times New Roman" w:hAnsi="Times New Roman" w:cs="Times New Roman"/>
                <w:sz w:val="20"/>
                <w:szCs w:val="20"/>
              </w:rPr>
              <w:t>Внески до додаткового капіталу</w:t>
            </w:r>
          </w:p>
        </w:tc>
        <w:tc>
          <w:tcPr>
            <w:tcW w:w="1135"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r>
      <w:tr w:rsidR="00B80387" w:rsidRPr="002315A7" w:rsidTr="00B80387">
        <w:trPr>
          <w:trHeight w:val="270"/>
        </w:trPr>
        <w:tc>
          <w:tcPr>
            <w:tcW w:w="2976" w:type="dxa"/>
            <w:tcBorders>
              <w:top w:val="single" w:sz="4" w:space="0" w:color="auto"/>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Cs/>
                <w:sz w:val="20"/>
                <w:szCs w:val="20"/>
              </w:rPr>
            </w:pPr>
            <w:r w:rsidRPr="002315A7">
              <w:rPr>
                <w:rFonts w:ascii="Times New Roman" w:hAnsi="Times New Roman" w:cs="Times New Roman"/>
                <w:bCs/>
                <w:sz w:val="20"/>
                <w:szCs w:val="20"/>
              </w:rPr>
              <w:t>Разом змін в капіталі</w:t>
            </w:r>
          </w:p>
        </w:tc>
        <w:tc>
          <w:tcPr>
            <w:tcW w:w="1135" w:type="dxa"/>
            <w:tcBorders>
              <w:top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sz w:val="20"/>
                <w:szCs w:val="20"/>
              </w:rPr>
            </w:pPr>
            <w:r>
              <w:rPr>
                <w:rFonts w:ascii="Times New Roman" w:hAnsi="Times New Roman" w:cs="Times New Roman"/>
                <w:sz w:val="20"/>
                <w:szCs w:val="20"/>
              </w:rPr>
              <w:t>31</w:t>
            </w:r>
          </w:p>
        </w:tc>
      </w:tr>
      <w:tr w:rsidR="00B80387" w:rsidRPr="002315A7" w:rsidTr="00B80387">
        <w:trPr>
          <w:trHeight w:val="270"/>
        </w:trPr>
        <w:tc>
          <w:tcPr>
            <w:tcW w:w="2976" w:type="dxa"/>
            <w:tcBorders>
              <w:bottom w:val="single" w:sz="4" w:space="0" w:color="00000A"/>
              <w:right w:val="single" w:sz="4" w:space="0" w:color="auto"/>
            </w:tcBorders>
            <w:tcMar>
              <w:top w:w="0" w:type="dxa"/>
              <w:left w:w="108" w:type="dxa"/>
              <w:bottom w:w="0" w:type="dxa"/>
              <w:right w:w="108" w:type="dxa"/>
            </w:tcMar>
            <w:vAlign w:val="bottom"/>
          </w:tcPr>
          <w:p w:rsidR="00B80387" w:rsidRPr="002315A7" w:rsidRDefault="00B80387" w:rsidP="00C64983">
            <w:pPr>
              <w:pStyle w:val="Standard"/>
              <w:widowControl w:val="0"/>
              <w:rPr>
                <w:rFonts w:ascii="Times New Roman" w:hAnsi="Times New Roman" w:cs="Times New Roman"/>
                <w:b/>
                <w:bCs/>
                <w:i/>
                <w:sz w:val="20"/>
                <w:szCs w:val="20"/>
              </w:rPr>
            </w:pPr>
            <w:r w:rsidRPr="002315A7">
              <w:rPr>
                <w:rFonts w:ascii="Times New Roman" w:hAnsi="Times New Roman" w:cs="Times New Roman"/>
                <w:b/>
                <w:bCs/>
                <w:i/>
                <w:sz w:val="20"/>
                <w:szCs w:val="20"/>
              </w:rPr>
              <w:t>Залишок на кінець  2019року</w:t>
            </w:r>
          </w:p>
        </w:tc>
        <w:tc>
          <w:tcPr>
            <w:tcW w:w="1135" w:type="dxa"/>
            <w:tcBorders>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sz w:val="20"/>
                <w:szCs w:val="20"/>
              </w:rPr>
            </w:pPr>
            <w:r w:rsidRPr="002315A7">
              <w:rPr>
                <w:rFonts w:ascii="Times New Roman" w:hAnsi="Times New Roman" w:cs="Times New Roman"/>
                <w:b/>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sz w:val="20"/>
                <w:szCs w:val="20"/>
              </w:rPr>
            </w:pPr>
            <w:r>
              <w:rPr>
                <w:rFonts w:ascii="Times New Roman" w:hAnsi="Times New Roman" w:cs="Times New Roman"/>
                <w:b/>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B80387" w:rsidRPr="002315A7" w:rsidRDefault="00B80387" w:rsidP="00C64983">
            <w:pPr>
              <w:pStyle w:val="Standard"/>
              <w:widowControl w:val="0"/>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sz w:val="20"/>
                <w:szCs w:val="20"/>
              </w:rPr>
            </w:pPr>
            <w:r>
              <w:rPr>
                <w:rFonts w:ascii="Times New Roman" w:hAnsi="Times New Roman" w:cs="Times New Roman"/>
                <w:b/>
                <w:sz w:val="20"/>
                <w:szCs w:val="20"/>
              </w:rPr>
              <w:t>790</w:t>
            </w:r>
          </w:p>
        </w:tc>
        <w:tc>
          <w:tcPr>
            <w:tcW w:w="992" w:type="dxa"/>
            <w:tcBorders>
              <w:top w:val="single" w:sz="4" w:space="0" w:color="auto"/>
              <w:left w:val="single" w:sz="4" w:space="0" w:color="auto"/>
              <w:bottom w:val="single" w:sz="4" w:space="0" w:color="auto"/>
              <w:right w:val="single" w:sz="4" w:space="0" w:color="auto"/>
            </w:tcBorders>
          </w:tcPr>
          <w:p w:rsidR="00B80387" w:rsidRPr="002315A7" w:rsidRDefault="00B80387" w:rsidP="00C64983">
            <w:pPr>
              <w:pStyle w:val="Standard"/>
              <w:widowControl w:val="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80387" w:rsidRPr="002315A7" w:rsidRDefault="00B80387" w:rsidP="00C64983">
            <w:pPr>
              <w:pStyle w:val="Standard"/>
              <w:widowControl w:val="0"/>
              <w:jc w:val="center"/>
              <w:rPr>
                <w:rFonts w:ascii="Times New Roman" w:hAnsi="Times New Roman" w:cs="Times New Roman"/>
                <w:b/>
                <w:sz w:val="20"/>
                <w:szCs w:val="20"/>
              </w:rPr>
            </w:pPr>
            <w:r>
              <w:rPr>
                <w:rFonts w:ascii="Times New Roman" w:hAnsi="Times New Roman" w:cs="Times New Roman"/>
                <w:b/>
                <w:sz w:val="20"/>
                <w:szCs w:val="20"/>
              </w:rPr>
              <w:t>1797</w:t>
            </w:r>
          </w:p>
        </w:tc>
      </w:tr>
    </w:tbl>
    <w:p w:rsidR="00B80387" w:rsidRPr="002315A7" w:rsidRDefault="00B80387" w:rsidP="00B80387">
      <w:pPr>
        <w:pStyle w:val="Standard"/>
        <w:rPr>
          <w:rFonts w:ascii="Times New Roman" w:hAnsi="Times New Roman" w:cs="Times New Roman"/>
          <w:b/>
          <w:sz w:val="20"/>
          <w:szCs w:val="20"/>
        </w:rPr>
      </w:pPr>
    </w:p>
    <w:p w:rsidR="0043703D" w:rsidRDefault="0043703D" w:rsidP="0043703D">
      <w:pPr>
        <w:pStyle w:val="Standard"/>
      </w:pPr>
    </w:p>
    <w:p w:rsidR="008442A5" w:rsidRDefault="008442A5" w:rsidP="0043703D">
      <w:pPr>
        <w:pStyle w:val="Standard"/>
      </w:pPr>
    </w:p>
    <w:p w:rsidR="008442A5" w:rsidRDefault="008442A5" w:rsidP="0043703D">
      <w:pPr>
        <w:pStyle w:val="Standard"/>
      </w:pPr>
    </w:p>
    <w:p w:rsidR="008442A5" w:rsidRDefault="008442A5" w:rsidP="0043703D">
      <w:pPr>
        <w:pStyle w:val="Standard"/>
      </w:pPr>
    </w:p>
    <w:p w:rsidR="008442A5" w:rsidRDefault="008442A5" w:rsidP="0043703D">
      <w:pPr>
        <w:pStyle w:val="Standard"/>
      </w:pPr>
    </w:p>
    <w:p w:rsidR="008442A5" w:rsidRDefault="008442A5" w:rsidP="0043703D">
      <w:pPr>
        <w:pStyle w:val="Standard"/>
      </w:pPr>
    </w:p>
    <w:p w:rsidR="008442A5" w:rsidRDefault="008442A5" w:rsidP="0043703D">
      <w:pPr>
        <w:pStyle w:val="Standard"/>
      </w:pPr>
    </w:p>
    <w:p w:rsidR="0043703D" w:rsidRDefault="0043703D" w:rsidP="0043703D">
      <w:pPr>
        <w:pStyle w:val="Standard"/>
      </w:pPr>
    </w:p>
    <w:p w:rsidR="00B80387" w:rsidRPr="004035A4" w:rsidRDefault="00B80387" w:rsidP="00B80387">
      <w:pPr>
        <w:ind w:firstLine="567"/>
      </w:pPr>
      <w:r w:rsidRPr="004035A4">
        <w:t>Директор</w:t>
      </w:r>
      <w:r w:rsidRPr="004035A4">
        <w:tab/>
      </w:r>
      <w:r w:rsidRPr="004035A4">
        <w:tab/>
      </w:r>
      <w:r w:rsidRPr="004035A4">
        <w:tab/>
      </w:r>
      <w:r w:rsidRPr="004035A4">
        <w:tab/>
      </w:r>
      <w:r w:rsidRPr="004035A4">
        <w:tab/>
      </w:r>
      <w:r w:rsidRPr="004035A4">
        <w:tab/>
        <w:t>Соколенко Н.О.</w:t>
      </w:r>
    </w:p>
    <w:p w:rsidR="00B80387" w:rsidRPr="004035A4" w:rsidRDefault="00B80387" w:rsidP="00B80387">
      <w:pPr>
        <w:ind w:firstLine="567"/>
      </w:pPr>
    </w:p>
    <w:p w:rsidR="00B80387" w:rsidRPr="004035A4" w:rsidRDefault="00B80387" w:rsidP="00B80387">
      <w:pPr>
        <w:ind w:firstLine="567"/>
      </w:pPr>
      <w:r w:rsidRPr="004035A4">
        <w:t>Головний бухгалтер</w:t>
      </w:r>
      <w:r w:rsidRPr="004035A4">
        <w:tab/>
      </w:r>
      <w:r w:rsidRPr="004035A4">
        <w:tab/>
      </w:r>
      <w:r w:rsidRPr="004035A4">
        <w:tab/>
      </w:r>
      <w:r w:rsidRPr="004035A4">
        <w:tab/>
      </w:r>
      <w:r w:rsidRPr="004035A4">
        <w:tab/>
        <w:t>Соколенко А.Л.</w:t>
      </w:r>
    </w:p>
    <w:p w:rsidR="0043703D" w:rsidRDefault="0043703D" w:rsidP="0043703D">
      <w:pPr>
        <w:pStyle w:val="Standard"/>
      </w:pPr>
    </w:p>
    <w:p w:rsidR="0043703D" w:rsidRDefault="0043703D" w:rsidP="0043703D">
      <w:pPr>
        <w:pStyle w:val="Standard"/>
      </w:pPr>
    </w:p>
    <w:p w:rsidR="0043703D" w:rsidRDefault="0043703D" w:rsidP="0043703D">
      <w:pPr>
        <w:pStyle w:val="Standard"/>
      </w:pPr>
    </w:p>
    <w:p w:rsidR="00B80387" w:rsidRDefault="00B80387" w:rsidP="0043703D">
      <w:pPr>
        <w:pStyle w:val="Standard"/>
      </w:pPr>
    </w:p>
    <w:p w:rsidR="00B80387" w:rsidRDefault="00B80387" w:rsidP="0043703D">
      <w:pPr>
        <w:pStyle w:val="Standard"/>
      </w:pPr>
    </w:p>
    <w:p w:rsidR="00B80387" w:rsidRDefault="00B80387" w:rsidP="0043703D">
      <w:pPr>
        <w:pStyle w:val="Standard"/>
      </w:pPr>
    </w:p>
    <w:p w:rsidR="00B80387" w:rsidRDefault="00B80387" w:rsidP="0043703D">
      <w:pPr>
        <w:pStyle w:val="Standard"/>
      </w:pPr>
    </w:p>
    <w:p w:rsidR="00B80387" w:rsidRDefault="00B80387" w:rsidP="0043703D">
      <w:pPr>
        <w:pStyle w:val="Standard"/>
      </w:pPr>
    </w:p>
    <w:p w:rsidR="009550D6" w:rsidRDefault="009550D6" w:rsidP="0043703D">
      <w:pPr>
        <w:pStyle w:val="Standard"/>
      </w:pPr>
    </w:p>
    <w:p w:rsidR="00B80387" w:rsidRDefault="00B80387" w:rsidP="0043703D">
      <w:pPr>
        <w:pStyle w:val="Standard"/>
      </w:pPr>
    </w:p>
    <w:p w:rsidR="00B80387" w:rsidRDefault="00B80387" w:rsidP="0043703D">
      <w:pPr>
        <w:pStyle w:val="Standard"/>
      </w:pPr>
    </w:p>
    <w:p w:rsidR="00B80387" w:rsidRDefault="00B80387" w:rsidP="0043703D">
      <w:pPr>
        <w:pStyle w:val="Standard"/>
      </w:pPr>
    </w:p>
    <w:p w:rsidR="00B80387" w:rsidRDefault="00B80387" w:rsidP="0043703D">
      <w:pPr>
        <w:pStyle w:val="Standard"/>
      </w:pPr>
    </w:p>
    <w:p w:rsidR="00B80387" w:rsidRDefault="00B80387" w:rsidP="0043703D">
      <w:pPr>
        <w:pStyle w:val="Standard"/>
      </w:pPr>
    </w:p>
    <w:p w:rsidR="00B80387" w:rsidRDefault="00B80387" w:rsidP="0043703D">
      <w:pPr>
        <w:pStyle w:val="Standard"/>
      </w:pPr>
    </w:p>
    <w:p w:rsidR="00065B07" w:rsidRPr="004035A4" w:rsidRDefault="00065B07" w:rsidP="00065B07">
      <w:pPr>
        <w:jc w:val="center"/>
        <w:rPr>
          <w:b/>
        </w:rPr>
      </w:pPr>
      <w:r w:rsidRPr="004035A4">
        <w:rPr>
          <w:b/>
        </w:rPr>
        <w:t xml:space="preserve">Примітки </w:t>
      </w:r>
    </w:p>
    <w:p w:rsidR="00065B07" w:rsidRPr="004035A4" w:rsidRDefault="00065B07" w:rsidP="00065B07">
      <w:pPr>
        <w:jc w:val="center"/>
        <w:rPr>
          <w:b/>
        </w:rPr>
      </w:pPr>
      <w:r w:rsidRPr="004035A4">
        <w:rPr>
          <w:b/>
        </w:rPr>
        <w:t>до річної фінансової звітності,</w:t>
      </w:r>
    </w:p>
    <w:p w:rsidR="00065B07" w:rsidRPr="004035A4" w:rsidRDefault="00065B07" w:rsidP="00065B07">
      <w:pPr>
        <w:jc w:val="center"/>
        <w:rPr>
          <w:b/>
        </w:rPr>
      </w:pPr>
      <w:r w:rsidRPr="004035A4">
        <w:rPr>
          <w:b/>
        </w:rPr>
        <w:t xml:space="preserve">стислий виклад суттєвих облікових політик, </w:t>
      </w:r>
      <w:r w:rsidR="00776DE0" w:rsidRPr="00130A3A">
        <w:rPr>
          <w:b/>
        </w:rPr>
        <w:t>розкриття</w:t>
      </w:r>
      <w:r w:rsidR="00776DE0">
        <w:rPr>
          <w:b/>
        </w:rPr>
        <w:t xml:space="preserve"> </w:t>
      </w:r>
      <w:r w:rsidRPr="004035A4">
        <w:rPr>
          <w:b/>
        </w:rPr>
        <w:t xml:space="preserve">та загальна інформація </w:t>
      </w:r>
    </w:p>
    <w:p w:rsidR="00872302" w:rsidRPr="004035A4" w:rsidRDefault="007B1B38" w:rsidP="00065B07">
      <w:pPr>
        <w:jc w:val="center"/>
        <w:rPr>
          <w:iCs/>
        </w:rPr>
      </w:pPr>
      <w:r w:rsidRPr="004035A4">
        <w:t>ПТ "ЛОМБАРД "ГАРАНТ-ЧЕРКАСИ"</w:t>
      </w:r>
      <w:r w:rsidR="00065B07" w:rsidRPr="004035A4">
        <w:t xml:space="preserve">  за рік, що закінчився на </w:t>
      </w:r>
      <w:r w:rsidR="00065B07" w:rsidRPr="004035A4">
        <w:rPr>
          <w:iCs/>
        </w:rPr>
        <w:t>31 грудня 201</w:t>
      </w:r>
      <w:r w:rsidR="001E4FB9">
        <w:rPr>
          <w:iCs/>
          <w:lang w:val="ru-RU"/>
        </w:rPr>
        <w:t>9</w:t>
      </w:r>
      <w:r w:rsidR="00065B07" w:rsidRPr="004035A4">
        <w:rPr>
          <w:iCs/>
        </w:rPr>
        <w:t xml:space="preserve"> року.</w:t>
      </w:r>
    </w:p>
    <w:p w:rsidR="00B81D5D" w:rsidRPr="004035A4" w:rsidRDefault="00B81D5D" w:rsidP="00B54B0F">
      <w:pPr>
        <w:ind w:firstLine="540"/>
        <w:jc w:val="both"/>
        <w:rPr>
          <w:b/>
          <w:bCs/>
        </w:rPr>
      </w:pPr>
    </w:p>
    <w:p w:rsidR="0043703D" w:rsidRPr="0009311F" w:rsidRDefault="0043703D" w:rsidP="0043703D">
      <w:pPr>
        <w:pStyle w:val="aa"/>
        <w:numPr>
          <w:ilvl w:val="0"/>
          <w:numId w:val="8"/>
        </w:numPr>
        <w:tabs>
          <w:tab w:val="clear" w:pos="4819"/>
          <w:tab w:val="clear" w:pos="9639"/>
        </w:tabs>
        <w:ind w:left="0" w:firstLine="567"/>
        <w:contextualSpacing/>
        <w:jc w:val="center"/>
        <w:rPr>
          <w:b/>
          <w:szCs w:val="24"/>
        </w:rPr>
      </w:pPr>
      <w:r w:rsidRPr="0009311F">
        <w:rPr>
          <w:b/>
          <w:szCs w:val="24"/>
          <w:lang w:val="ru-RU"/>
        </w:rPr>
        <w:t>Інформація про Товариство та основа підготовки фінансової звітності</w:t>
      </w:r>
    </w:p>
    <w:p w:rsidR="00130A3A" w:rsidRDefault="00130A3A" w:rsidP="0043703D">
      <w:pPr>
        <w:pStyle w:val="12"/>
        <w:shd w:val="clear" w:color="auto" w:fill="auto"/>
        <w:spacing w:before="0" w:after="0" w:line="240" w:lineRule="auto"/>
        <w:ind w:firstLine="567"/>
        <w:contextualSpacing/>
        <w:jc w:val="center"/>
        <w:rPr>
          <w:b/>
          <w:i/>
          <w:sz w:val="24"/>
          <w:szCs w:val="24"/>
          <w:lang w:val="uk-UA"/>
        </w:rPr>
      </w:pPr>
    </w:p>
    <w:p w:rsidR="0043703D" w:rsidRPr="0009311F" w:rsidRDefault="0043703D" w:rsidP="0043703D">
      <w:pPr>
        <w:pStyle w:val="12"/>
        <w:shd w:val="clear" w:color="auto" w:fill="auto"/>
        <w:spacing w:before="0" w:after="0" w:line="240" w:lineRule="auto"/>
        <w:ind w:firstLine="567"/>
        <w:contextualSpacing/>
        <w:jc w:val="center"/>
        <w:rPr>
          <w:b/>
          <w:i/>
          <w:sz w:val="24"/>
          <w:szCs w:val="24"/>
          <w:lang w:val="uk-UA"/>
        </w:rPr>
      </w:pPr>
      <w:r w:rsidRPr="0009311F">
        <w:rPr>
          <w:b/>
          <w:i/>
          <w:sz w:val="24"/>
          <w:szCs w:val="24"/>
          <w:lang w:val="uk-UA"/>
        </w:rPr>
        <w:t>Інформація про товариство</w:t>
      </w:r>
    </w:p>
    <w:p w:rsidR="00B81D5D" w:rsidRPr="004035A4" w:rsidRDefault="007B1B38" w:rsidP="00B81D5D">
      <w:pPr>
        <w:ind w:firstLine="567"/>
      </w:pPr>
      <w:r w:rsidRPr="004035A4">
        <w:t>ПТ "ЛОМБАРД "ГАРАНТ-ЧЕРКАСИ"</w:t>
      </w:r>
      <w:r w:rsidR="00B54B0F" w:rsidRPr="004035A4">
        <w:t>є юридичною особою, створеною відповідно до законодавства України</w:t>
      </w:r>
      <w:r w:rsidRPr="004035A4">
        <w:t>,</w:t>
      </w:r>
      <w:r w:rsidR="00B54B0F" w:rsidRPr="004035A4">
        <w:t xml:space="preserve"> зареєстроване в  Єдиному державному реєстрі юридичних осіб та фізичних осіб </w:t>
      </w:r>
      <w:r w:rsidRPr="004035A4">
        <w:t xml:space="preserve">11.10.1999 </w:t>
      </w:r>
      <w:r w:rsidR="00B54B0F" w:rsidRPr="004035A4">
        <w:t xml:space="preserve">року, номер запису про включення відомостей про юридичну особу до ЄДР  </w:t>
      </w:r>
      <w:r w:rsidRPr="004035A4">
        <w:t>1 026 120 0000 002314</w:t>
      </w:r>
      <w:r w:rsidR="00B54B0F" w:rsidRPr="004035A4">
        <w:t xml:space="preserve">. </w:t>
      </w:r>
    </w:p>
    <w:p w:rsidR="00B54B0F" w:rsidRPr="004035A4" w:rsidRDefault="00B81D5D" w:rsidP="00B81D5D">
      <w:pPr>
        <w:ind w:firstLine="567"/>
        <w:rPr>
          <w:szCs w:val="24"/>
        </w:rPr>
      </w:pPr>
      <w:r w:rsidRPr="004035A4">
        <w:rPr>
          <w:szCs w:val="24"/>
        </w:rPr>
        <w:t>Код ЕДРПОУ</w:t>
      </w:r>
      <w:r w:rsidR="005557B7" w:rsidRPr="004035A4">
        <w:rPr>
          <w:szCs w:val="24"/>
        </w:rPr>
        <w:t xml:space="preserve"> </w:t>
      </w:r>
      <w:r w:rsidR="007B1B38" w:rsidRPr="004035A4">
        <w:rPr>
          <w:szCs w:val="24"/>
        </w:rPr>
        <w:t>24349724</w:t>
      </w:r>
      <w:r w:rsidRPr="004035A4">
        <w:rPr>
          <w:szCs w:val="24"/>
        </w:rPr>
        <w:t>.</w:t>
      </w:r>
    </w:p>
    <w:p w:rsidR="00B54B0F" w:rsidRPr="004035A4" w:rsidRDefault="00B54B0F" w:rsidP="00B81D5D">
      <w:pPr>
        <w:ind w:firstLine="567"/>
        <w:jc w:val="both"/>
      </w:pPr>
      <w:r w:rsidRPr="004035A4">
        <w:t xml:space="preserve">Нова редакція Засновницького договору зареєстрована </w:t>
      </w:r>
      <w:r w:rsidR="00075269">
        <w:rPr>
          <w:lang w:val="ru-RU"/>
        </w:rPr>
        <w:t>05</w:t>
      </w:r>
      <w:r w:rsidR="007B1B38" w:rsidRPr="004035A4">
        <w:t>.0</w:t>
      </w:r>
      <w:r w:rsidR="00075269">
        <w:rPr>
          <w:lang w:val="ru-RU"/>
        </w:rPr>
        <w:t>9</w:t>
      </w:r>
      <w:r w:rsidR="007B1B38" w:rsidRPr="004035A4">
        <w:t>.20</w:t>
      </w:r>
      <w:r w:rsidR="00F537CD" w:rsidRPr="004035A4">
        <w:t>1</w:t>
      </w:r>
      <w:r w:rsidR="00075269">
        <w:rPr>
          <w:lang w:val="ru-RU"/>
        </w:rPr>
        <w:t>9</w:t>
      </w:r>
      <w:r w:rsidRPr="004035A4">
        <w:t>, № запису 1</w:t>
      </w:r>
      <w:r w:rsidR="007B1B38" w:rsidRPr="004035A4">
        <w:t>0</w:t>
      </w:r>
      <w:r w:rsidR="00F537CD" w:rsidRPr="004035A4">
        <w:t xml:space="preserve"> </w:t>
      </w:r>
      <w:r w:rsidR="007B1B38" w:rsidRPr="004035A4">
        <w:t>26 1</w:t>
      </w:r>
      <w:r w:rsidR="00075269">
        <w:rPr>
          <w:lang w:val="ru-RU"/>
        </w:rPr>
        <w:t>20</w:t>
      </w:r>
      <w:r w:rsidR="007B1B38" w:rsidRPr="004035A4">
        <w:t xml:space="preserve"> </w:t>
      </w:r>
      <w:r w:rsidR="00075269">
        <w:rPr>
          <w:lang w:val="ru-RU"/>
        </w:rPr>
        <w:t>0</w:t>
      </w:r>
      <w:r w:rsidR="007B1B38" w:rsidRPr="004035A4">
        <w:t>000 002314.</w:t>
      </w:r>
      <w:r w:rsidRPr="004035A4">
        <w:t xml:space="preserve"> </w:t>
      </w:r>
    </w:p>
    <w:p w:rsidR="00B54B0F" w:rsidRPr="004035A4" w:rsidRDefault="00B54B0F" w:rsidP="00B81D5D">
      <w:pPr>
        <w:autoSpaceDE w:val="0"/>
        <w:autoSpaceDN w:val="0"/>
        <w:adjustRightInd w:val="0"/>
        <w:ind w:firstLine="567"/>
        <w:jc w:val="both"/>
        <w:rPr>
          <w:bCs/>
        </w:rPr>
      </w:pPr>
      <w:r w:rsidRPr="004035A4">
        <w:t>Протягом звітного 201</w:t>
      </w:r>
      <w:r w:rsidR="00075269">
        <w:rPr>
          <w:lang w:val="ru-RU"/>
        </w:rPr>
        <w:t>9</w:t>
      </w:r>
      <w:r w:rsidRPr="004035A4">
        <w:t xml:space="preserve"> року Товариство здійснювало фінансово – господарську діяльність виключн</w:t>
      </w:r>
      <w:r w:rsidR="007B1B38" w:rsidRPr="004035A4">
        <w:t xml:space="preserve">о в межах законодавства України, </w:t>
      </w:r>
      <w:r w:rsidRPr="004035A4">
        <w:rPr>
          <w:bCs/>
        </w:rPr>
        <w:t>вид</w:t>
      </w:r>
      <w:r w:rsidR="007B1B38" w:rsidRPr="004035A4">
        <w:rPr>
          <w:bCs/>
        </w:rPr>
        <w:t>и</w:t>
      </w:r>
      <w:r w:rsidRPr="004035A4">
        <w:rPr>
          <w:bCs/>
        </w:rPr>
        <w:t xml:space="preserve"> діяльності Товариства, відповідно до </w:t>
      </w:r>
      <w:r w:rsidRPr="004035A4">
        <w:t>Засновницького договору</w:t>
      </w:r>
      <w:r w:rsidRPr="004035A4">
        <w:rPr>
          <w:bCs/>
        </w:rPr>
        <w:t>, за КВЕД-2010:</w:t>
      </w:r>
    </w:p>
    <w:p w:rsidR="00B54B0F" w:rsidRPr="004035A4" w:rsidRDefault="00B54B0F" w:rsidP="00B81D5D">
      <w:pPr>
        <w:spacing w:before="40"/>
        <w:ind w:firstLine="567"/>
        <w:jc w:val="both"/>
      </w:pPr>
      <w:r w:rsidRPr="004035A4">
        <w:t>64.92  Інші види кредитування</w:t>
      </w:r>
      <w:r w:rsidR="00B81D5D" w:rsidRPr="004035A4">
        <w:t>.</w:t>
      </w:r>
    </w:p>
    <w:p w:rsidR="00B81D5D" w:rsidRPr="004035A4" w:rsidRDefault="00B81D5D" w:rsidP="00B81D5D">
      <w:pPr>
        <w:spacing w:before="40"/>
        <w:ind w:firstLine="567"/>
        <w:jc w:val="both"/>
      </w:pPr>
      <w:r w:rsidRPr="004035A4">
        <w:t xml:space="preserve">Повне товариство «ЛОМБАРД </w:t>
      </w:r>
      <w:r w:rsidR="00F343B6" w:rsidRPr="004035A4">
        <w:t>«ГАРАНТ-ЧЕРКАСИ»</w:t>
      </w:r>
      <w:r w:rsidRPr="004035A4">
        <w:t xml:space="preserve"> є </w:t>
      </w:r>
      <w:r w:rsidRPr="004035A4">
        <w:rPr>
          <w:szCs w:val="24"/>
        </w:rPr>
        <w:t>платником податку на прибуток на загальних підставах.</w:t>
      </w:r>
    </w:p>
    <w:p w:rsidR="00B54B0F" w:rsidRPr="004035A4" w:rsidRDefault="00B54B0F" w:rsidP="00B81D5D">
      <w:pPr>
        <w:ind w:firstLine="567"/>
        <w:jc w:val="both"/>
      </w:pPr>
      <w:r w:rsidRPr="004035A4">
        <w:t>Ломбард в 201</w:t>
      </w:r>
      <w:r w:rsidR="00075269">
        <w:rPr>
          <w:lang w:val="ru-RU"/>
        </w:rPr>
        <w:t>9</w:t>
      </w:r>
      <w:r w:rsidRPr="004035A4">
        <w:t xml:space="preserve"> році виконував послуги з надання на власний ризик фінансових кредитів фізичним особам виключно за рахунок власних коштів під заставу майна на визначений строк і під процент. Позиковими коштами ломбард не користувався. Ломбард також надавав супутні послуги</w:t>
      </w:r>
      <w:r w:rsidR="007C500A" w:rsidRPr="004035A4">
        <w:t xml:space="preserve"> з</w:t>
      </w:r>
      <w:r w:rsidRPr="004035A4">
        <w:t xml:space="preserve"> оцінк</w:t>
      </w:r>
      <w:r w:rsidR="007C500A" w:rsidRPr="004035A4">
        <w:t>и</w:t>
      </w:r>
      <w:r w:rsidRPr="004035A4">
        <w:t xml:space="preserve"> заставленого майна відповідно до умов договору.</w:t>
      </w:r>
    </w:p>
    <w:p w:rsidR="004B117E" w:rsidRDefault="00B54B0F" w:rsidP="004B117E">
      <w:pPr>
        <w:ind w:firstLine="567"/>
        <w:jc w:val="both"/>
      </w:pPr>
      <w:r w:rsidRPr="004035A4">
        <w:t xml:space="preserve">ПТ </w:t>
      </w:r>
      <w:r w:rsidR="007C500A" w:rsidRPr="004035A4">
        <w:t xml:space="preserve">«ЛОМБАРД </w:t>
      </w:r>
      <w:r w:rsidR="00F343B6" w:rsidRPr="004035A4">
        <w:t>«ГАРАНТ-ЧЕРКАСИ»</w:t>
      </w:r>
      <w:r w:rsidR="007C500A" w:rsidRPr="004035A4">
        <w:t xml:space="preserve"> провадить діяльність згідно отриманого</w:t>
      </w:r>
      <w:r w:rsidRPr="004035A4">
        <w:t xml:space="preserve"> </w:t>
      </w:r>
      <w:r w:rsidR="007C500A" w:rsidRPr="004035A4">
        <w:t>Свідоцтв</w:t>
      </w:r>
      <w:r w:rsidR="00F54249">
        <w:t>а</w:t>
      </w:r>
      <w:r w:rsidR="007C500A" w:rsidRPr="004035A4">
        <w:t xml:space="preserve"> Державної комісії з регулювання ринків фінансових послуг України про  реєстрацію фінансової установи, реєстраційний номер 1510</w:t>
      </w:r>
      <w:r w:rsidR="00F343B6" w:rsidRPr="004035A4">
        <w:t>0658</w:t>
      </w:r>
      <w:r w:rsidR="007C500A" w:rsidRPr="004035A4">
        <w:t>, серія та номер свідоцтва ЛД № 3</w:t>
      </w:r>
      <w:r w:rsidR="00F343B6" w:rsidRPr="004035A4">
        <w:t>1</w:t>
      </w:r>
      <w:r w:rsidR="007C500A" w:rsidRPr="004035A4">
        <w:t xml:space="preserve">, дата видачі – </w:t>
      </w:r>
      <w:r w:rsidR="00F343B6" w:rsidRPr="004035A4">
        <w:t>2</w:t>
      </w:r>
      <w:r w:rsidR="007C500A" w:rsidRPr="004035A4">
        <w:t xml:space="preserve">2 </w:t>
      </w:r>
      <w:r w:rsidR="00F343B6" w:rsidRPr="004035A4">
        <w:t xml:space="preserve">липня 2004 </w:t>
      </w:r>
      <w:r w:rsidR="007C500A" w:rsidRPr="004035A4">
        <w:t>року</w:t>
      </w:r>
      <w:r w:rsidR="004B117E" w:rsidRPr="004B117E">
        <w:t>,</w:t>
      </w:r>
      <w:r w:rsidR="007C500A" w:rsidRPr="004035A4">
        <w:t xml:space="preserve"> </w:t>
      </w:r>
      <w:r w:rsidR="004B117E" w:rsidRPr="004B117E">
        <w:t>з</w:t>
      </w:r>
      <w:r w:rsidR="007C500A" w:rsidRPr="004035A4">
        <w:t xml:space="preserve">ареєстровано відповідно до Розпорядження Комісії № </w:t>
      </w:r>
      <w:r w:rsidR="00F343B6" w:rsidRPr="004035A4">
        <w:t>1</w:t>
      </w:r>
      <w:r w:rsidR="007C500A" w:rsidRPr="004035A4">
        <w:t>7</w:t>
      </w:r>
      <w:r w:rsidR="00F343B6" w:rsidRPr="004035A4">
        <w:t>26</w:t>
      </w:r>
      <w:r w:rsidR="007C500A" w:rsidRPr="004035A4">
        <w:t xml:space="preserve"> від </w:t>
      </w:r>
      <w:r w:rsidR="00F343B6" w:rsidRPr="004035A4">
        <w:t>22 липня 2004</w:t>
      </w:r>
      <w:r w:rsidR="007C500A" w:rsidRPr="004035A4">
        <w:t xml:space="preserve"> року</w:t>
      </w:r>
      <w:r w:rsidRPr="004035A4">
        <w:t xml:space="preserve">. </w:t>
      </w:r>
    </w:p>
    <w:p w:rsidR="00B54B0F" w:rsidRDefault="004B117E" w:rsidP="004B117E">
      <w:pPr>
        <w:ind w:firstLine="567"/>
        <w:jc w:val="both"/>
      </w:pPr>
      <w:r w:rsidRPr="004B117E">
        <w:t xml:space="preserve">Також </w:t>
      </w:r>
      <w:r>
        <w:rPr>
          <w:lang w:val="ru-RU"/>
        </w:rPr>
        <w:t xml:space="preserve">для </w:t>
      </w:r>
      <w:r w:rsidRPr="004B117E">
        <w:t xml:space="preserve">провадження господарської </w:t>
      </w:r>
      <w:r>
        <w:t xml:space="preserve">діяльності з надання фінансових послуг, а саме надання коштів у позику, в тому числі і на умовах фінансового кредиту  </w:t>
      </w:r>
      <w:r w:rsidRPr="004B117E">
        <w:t>ПТ «ЛОМБАРД «ГАРАНТ-ЧЕРКАСИ</w:t>
      </w:r>
      <w:r>
        <w:t xml:space="preserve"> </w:t>
      </w:r>
      <w:r w:rsidRPr="004B117E">
        <w:t>»</w:t>
      </w:r>
      <w:r>
        <w:t xml:space="preserve"> отримало ліцензію 06.06.2017 р. згідно рішення №2337 Національної комісії що здійснює регулювання у сфері ринків фінансових послуг</w:t>
      </w:r>
      <w:r w:rsidR="00776DE0">
        <w:t>.</w:t>
      </w:r>
    </w:p>
    <w:p w:rsidR="00776DE0" w:rsidRPr="00FB6615" w:rsidRDefault="00776DE0" w:rsidP="00776DE0">
      <w:pPr>
        <w:ind w:firstLine="567"/>
        <w:jc w:val="both"/>
      </w:pPr>
      <w:r w:rsidRPr="00130A3A">
        <w:t>Товариство не суміщу</w:t>
      </w:r>
      <w:r w:rsidR="00F54249">
        <w:t>є</w:t>
      </w:r>
      <w:r w:rsidRPr="00130A3A">
        <w:t xml:space="preserve">  провадження основного виду господарської діяльності з іншими.</w:t>
      </w:r>
    </w:p>
    <w:p w:rsidR="00B54B0F" w:rsidRPr="004035A4" w:rsidRDefault="00B54B0F" w:rsidP="00B81D5D">
      <w:pPr>
        <w:ind w:firstLine="567"/>
        <w:jc w:val="both"/>
      </w:pPr>
      <w:r w:rsidRPr="004B117E">
        <w:t xml:space="preserve">Юридична адреса </w:t>
      </w:r>
      <w:r w:rsidR="007C500A" w:rsidRPr="004B117E">
        <w:t xml:space="preserve">ПТ «ЛОМБАРД </w:t>
      </w:r>
      <w:r w:rsidR="007B1B38" w:rsidRPr="004B117E">
        <w:t>«ГАРАНТ-ЧЕРКАСИ»</w:t>
      </w:r>
      <w:r w:rsidR="007C500A" w:rsidRPr="004B117E">
        <w:t xml:space="preserve"> </w:t>
      </w:r>
      <w:r w:rsidRPr="004B117E">
        <w:t xml:space="preserve"> - </w:t>
      </w:r>
      <w:r w:rsidR="00F343B6" w:rsidRPr="004B117E">
        <w:t>18002, Черкаська</w:t>
      </w:r>
      <w:r w:rsidR="00F343B6" w:rsidRPr="004035A4">
        <w:t xml:space="preserve"> обл., місто Черкаси, ВУЛИЦЯ СМІЛЯНСЬКА, будинок 36</w:t>
      </w:r>
      <w:r w:rsidRPr="004035A4">
        <w:t>.</w:t>
      </w:r>
    </w:p>
    <w:p w:rsidR="00B54B0F" w:rsidRPr="004035A4" w:rsidRDefault="00B54B0F" w:rsidP="00B54B0F">
      <w:pPr>
        <w:autoSpaceDE w:val="0"/>
        <w:autoSpaceDN w:val="0"/>
        <w:adjustRightInd w:val="0"/>
        <w:ind w:firstLine="540"/>
        <w:jc w:val="both"/>
      </w:pPr>
      <w:r w:rsidRPr="004035A4">
        <w:t xml:space="preserve">Для здійснення своєї діяльності </w:t>
      </w:r>
      <w:r w:rsidR="007C500A" w:rsidRPr="004035A4">
        <w:t>Ломбард</w:t>
      </w:r>
      <w:r w:rsidRPr="004035A4">
        <w:t xml:space="preserve"> має право відкривати поточні банківські рахунки у національній та іноземній валюті.</w:t>
      </w:r>
    </w:p>
    <w:p w:rsidR="00B54B0F" w:rsidRPr="004035A4" w:rsidRDefault="00B54B0F" w:rsidP="00B54B0F">
      <w:pPr>
        <w:autoSpaceDE w:val="0"/>
        <w:autoSpaceDN w:val="0"/>
        <w:adjustRightInd w:val="0"/>
        <w:ind w:firstLine="540"/>
        <w:jc w:val="both"/>
      </w:pPr>
      <w:r w:rsidRPr="004035A4">
        <w:t xml:space="preserve">Метою </w:t>
      </w:r>
      <w:r w:rsidR="007C500A" w:rsidRPr="004035A4">
        <w:t>діяльності</w:t>
      </w:r>
      <w:r w:rsidRPr="004035A4">
        <w:t xml:space="preserve"> </w:t>
      </w:r>
      <w:r w:rsidR="007C500A" w:rsidRPr="004035A4">
        <w:t>Ломбарду</w:t>
      </w:r>
      <w:r w:rsidRPr="004035A4">
        <w:t xml:space="preserve"> є одержання прибутку в результаті здійснення </w:t>
      </w:r>
      <w:r w:rsidR="007C500A" w:rsidRPr="004035A4">
        <w:t>діяльності на ринку фінансових послуг, а саме</w:t>
      </w:r>
      <w:r w:rsidRPr="004035A4">
        <w:t>,</w:t>
      </w:r>
      <w:r w:rsidR="007C500A" w:rsidRPr="004035A4">
        <w:t xml:space="preserve"> інші види кредитування</w:t>
      </w:r>
      <w:r w:rsidRPr="004035A4">
        <w:t xml:space="preserve"> в порядку та за умов визначених чинним законодавством i </w:t>
      </w:r>
      <w:r w:rsidR="007C500A" w:rsidRPr="004035A4">
        <w:t>Засновницьким договором</w:t>
      </w:r>
      <w:r w:rsidRPr="004035A4">
        <w:t xml:space="preserve">, а також наступний розподіл цього прибутку між </w:t>
      </w:r>
      <w:r w:rsidR="00DB3472" w:rsidRPr="004035A4">
        <w:t>Засновниками</w:t>
      </w:r>
      <w:r w:rsidRPr="004035A4">
        <w:t>.</w:t>
      </w:r>
      <w:r w:rsidRPr="004035A4">
        <w:tab/>
      </w:r>
    </w:p>
    <w:p w:rsidR="00B54B0F" w:rsidRPr="00130A3A" w:rsidRDefault="00B54B0F" w:rsidP="00B54B0F">
      <w:pPr>
        <w:ind w:firstLine="540"/>
        <w:jc w:val="both"/>
      </w:pPr>
      <w:r w:rsidRPr="00130A3A">
        <w:t>Середня кількість працівників товариства на кінець 201</w:t>
      </w:r>
      <w:r w:rsidR="00D36270">
        <w:rPr>
          <w:lang w:val="ru-RU"/>
        </w:rPr>
        <w:t>9</w:t>
      </w:r>
      <w:r w:rsidR="00DB3472" w:rsidRPr="00130A3A">
        <w:t xml:space="preserve"> р. становила </w:t>
      </w:r>
      <w:r w:rsidR="00D36270">
        <w:rPr>
          <w:lang w:val="ru-RU"/>
        </w:rPr>
        <w:t>4</w:t>
      </w:r>
      <w:r w:rsidRPr="00130A3A">
        <w:t xml:space="preserve"> чол.</w:t>
      </w:r>
    </w:p>
    <w:p w:rsidR="00130A3A" w:rsidRPr="00130A3A" w:rsidRDefault="00130A3A" w:rsidP="00130A3A">
      <w:pPr>
        <w:tabs>
          <w:tab w:val="left" w:pos="705"/>
        </w:tabs>
        <w:ind w:firstLine="540"/>
        <w:jc w:val="both"/>
      </w:pPr>
      <w:r w:rsidRPr="00130A3A">
        <w:t xml:space="preserve">Ломбард має власну веб-сторінку, на якій розміщена інформація, передбачена вимогами; загальна інформація,  по всім відділенням, </w:t>
      </w:r>
      <w:r w:rsidR="00F54249">
        <w:t>т</w:t>
      </w:r>
      <w:r w:rsidRPr="00130A3A">
        <w:t xml:space="preserve">а фінансова звітність за попередні роки. </w:t>
      </w:r>
    </w:p>
    <w:p w:rsidR="00130A3A" w:rsidRDefault="00130A3A" w:rsidP="00130A3A">
      <w:pPr>
        <w:tabs>
          <w:tab w:val="left" w:pos="705"/>
        </w:tabs>
        <w:ind w:firstLine="540"/>
        <w:jc w:val="both"/>
      </w:pPr>
      <w:r w:rsidRPr="00130A3A">
        <w:t>За період 201</w:t>
      </w:r>
      <w:r w:rsidR="00D36270">
        <w:rPr>
          <w:lang w:val="ru-RU"/>
        </w:rPr>
        <w:t>9</w:t>
      </w:r>
      <w:r w:rsidRPr="00130A3A">
        <w:t xml:space="preserve"> року заходи впливу НКФП не застосовувалися.</w:t>
      </w:r>
    </w:p>
    <w:p w:rsidR="00130A3A" w:rsidRDefault="00130A3A" w:rsidP="00130A3A">
      <w:pPr>
        <w:pStyle w:val="Standard"/>
        <w:widowControl w:val="0"/>
        <w:ind w:firstLine="567"/>
        <w:contextualSpacing/>
        <w:jc w:val="center"/>
        <w:rPr>
          <w:rStyle w:val="14"/>
          <w:rFonts w:ascii="Times New Roman" w:hAnsi="Times New Roman" w:cs="Times New Roman"/>
          <w:b/>
          <w:i/>
          <w:color w:val="auto"/>
        </w:rPr>
      </w:pPr>
    </w:p>
    <w:p w:rsidR="00130A3A" w:rsidRPr="0009311F" w:rsidRDefault="00130A3A" w:rsidP="00130A3A">
      <w:pPr>
        <w:pStyle w:val="Standard"/>
        <w:widowControl w:val="0"/>
        <w:ind w:firstLine="567"/>
        <w:contextualSpacing/>
        <w:jc w:val="center"/>
        <w:rPr>
          <w:rFonts w:ascii="Times New Roman" w:hAnsi="Times New Roman" w:cs="Times New Roman"/>
        </w:rPr>
      </w:pPr>
      <w:r w:rsidRPr="0009311F">
        <w:rPr>
          <w:rStyle w:val="14"/>
          <w:rFonts w:ascii="Times New Roman" w:hAnsi="Times New Roman" w:cs="Times New Roman"/>
          <w:b/>
          <w:i/>
          <w:color w:val="auto"/>
        </w:rPr>
        <w:t>Валюта подання звітності та функціональна валюта, ступінь округлення</w:t>
      </w:r>
    </w:p>
    <w:p w:rsidR="00B54B0F" w:rsidRPr="004035A4" w:rsidRDefault="00B54B0F" w:rsidP="00F54249">
      <w:pPr>
        <w:autoSpaceDE w:val="0"/>
        <w:autoSpaceDN w:val="0"/>
        <w:adjustRightInd w:val="0"/>
        <w:ind w:firstLine="540"/>
        <w:jc w:val="both"/>
      </w:pPr>
      <w:r w:rsidRPr="004035A4">
        <w:rPr>
          <w:color w:val="000000"/>
        </w:rPr>
        <w:lastRenderedPageBreak/>
        <w:t>Функціональною валютою підприємства є Українська гривня, яка є національною валю</w:t>
      </w:r>
      <w:r w:rsidRPr="004035A4">
        <w:rPr>
          <w:color w:val="000000"/>
        </w:rPr>
        <w:softHyphen/>
        <w:t>тою України,</w:t>
      </w:r>
      <w:r w:rsidR="00DB3472" w:rsidRPr="004035A4">
        <w:rPr>
          <w:color w:val="000000"/>
        </w:rPr>
        <w:t xml:space="preserve"> і</w:t>
      </w:r>
      <w:r w:rsidRPr="004035A4">
        <w:rPr>
          <w:color w:val="000000"/>
        </w:rPr>
        <w:t xml:space="preserve"> найкращим чином відображає економічну сутність більшості операцій, що проводяться підприємством, і пов'язаних з ними обставинами, впливаючи на її діяльність.</w:t>
      </w:r>
    </w:p>
    <w:p w:rsidR="00B54B0F" w:rsidRPr="004035A4" w:rsidRDefault="00B54B0F" w:rsidP="00F54249">
      <w:pPr>
        <w:shd w:val="clear" w:color="auto" w:fill="FFFFFF"/>
        <w:autoSpaceDE w:val="0"/>
        <w:autoSpaceDN w:val="0"/>
        <w:adjustRightInd w:val="0"/>
        <w:ind w:firstLine="540"/>
        <w:jc w:val="both"/>
      </w:pPr>
      <w:r w:rsidRPr="004035A4">
        <w:rPr>
          <w:color w:val="000000"/>
        </w:rPr>
        <w:t>Українська гривня є також валютою пред</w:t>
      </w:r>
      <w:r w:rsidRPr="004035A4">
        <w:rPr>
          <w:color w:val="000000"/>
        </w:rPr>
        <w:softHyphen/>
        <w:t>ставлення фінансової звітності за Міжнарод</w:t>
      </w:r>
      <w:r w:rsidRPr="004035A4">
        <w:rPr>
          <w:color w:val="000000"/>
        </w:rPr>
        <w:softHyphen/>
        <w:t>ними стандартами.</w:t>
      </w:r>
      <w:r w:rsidR="00130A3A" w:rsidRPr="00130A3A">
        <w:rPr>
          <w:rStyle w:val="14"/>
          <w:szCs w:val="24"/>
        </w:rPr>
        <w:t xml:space="preserve"> </w:t>
      </w:r>
      <w:r w:rsidR="00130A3A" w:rsidRPr="0009311F">
        <w:rPr>
          <w:rStyle w:val="14"/>
          <w:szCs w:val="24"/>
        </w:rPr>
        <w:t>(п. 51 МСБО 1 «Подання фінансової звітності»)</w:t>
      </w:r>
    </w:p>
    <w:p w:rsidR="00130A3A" w:rsidRPr="0009311F" w:rsidRDefault="00130A3A" w:rsidP="00386423">
      <w:pPr>
        <w:pStyle w:val="12"/>
        <w:shd w:val="clear" w:color="auto" w:fill="auto"/>
        <w:spacing w:before="0" w:after="0" w:line="240" w:lineRule="auto"/>
        <w:ind w:firstLine="567"/>
        <w:contextualSpacing/>
        <w:jc w:val="both"/>
      </w:pPr>
      <w:r>
        <w:rPr>
          <w:sz w:val="24"/>
          <w:szCs w:val="24"/>
          <w:lang w:val="uk-UA"/>
        </w:rPr>
        <w:t xml:space="preserve"> </w:t>
      </w:r>
    </w:p>
    <w:p w:rsidR="00130A3A" w:rsidRPr="0009311F" w:rsidRDefault="00130A3A" w:rsidP="00130A3A">
      <w:pPr>
        <w:pStyle w:val="12"/>
        <w:shd w:val="clear" w:color="auto" w:fill="auto"/>
        <w:spacing w:before="0" w:after="0" w:line="240" w:lineRule="auto"/>
        <w:ind w:firstLine="567"/>
        <w:contextualSpacing/>
        <w:jc w:val="both"/>
        <w:rPr>
          <w:sz w:val="24"/>
          <w:szCs w:val="24"/>
          <w:lang w:val="uk-UA"/>
        </w:rPr>
      </w:pPr>
    </w:p>
    <w:p w:rsidR="00130A3A" w:rsidRPr="0009311F" w:rsidRDefault="00130A3A" w:rsidP="00130A3A">
      <w:pPr>
        <w:pStyle w:val="21"/>
        <w:tabs>
          <w:tab w:val="num" w:pos="993"/>
        </w:tabs>
        <w:spacing w:before="0"/>
        <w:ind w:firstLine="567"/>
        <w:contextualSpacing/>
        <w:jc w:val="center"/>
        <w:outlineLvl w:val="9"/>
        <w:rPr>
          <w:rFonts w:ascii="Times New Roman" w:hAnsi="Times New Roman" w:cs="Times New Roman"/>
          <w:i/>
          <w:color w:val="auto"/>
          <w:sz w:val="24"/>
          <w:szCs w:val="24"/>
          <w:lang w:val="uk-UA"/>
        </w:rPr>
      </w:pPr>
      <w:r w:rsidRPr="0009311F">
        <w:rPr>
          <w:rFonts w:ascii="Times New Roman" w:hAnsi="Times New Roman" w:cs="Times New Roman"/>
          <w:i/>
          <w:color w:val="auto"/>
          <w:sz w:val="24"/>
          <w:szCs w:val="24"/>
          <w:lang w:val="uk-UA"/>
        </w:rPr>
        <w:t>Ідентифікація фінансової звітності</w:t>
      </w:r>
    </w:p>
    <w:p w:rsidR="00540581" w:rsidRPr="008442A5" w:rsidRDefault="00540581" w:rsidP="00540581">
      <w:pPr>
        <w:pStyle w:val="11"/>
        <w:spacing w:before="0"/>
        <w:ind w:firstLine="567"/>
        <w:contextualSpacing/>
        <w:jc w:val="both"/>
        <w:rPr>
          <w:rFonts w:ascii="Times New Roman" w:hAnsi="Times New Roman" w:cs="Times New Roman"/>
          <w:b w:val="0"/>
          <w:color w:val="auto"/>
          <w:sz w:val="24"/>
          <w:szCs w:val="24"/>
        </w:rPr>
      </w:pPr>
      <w:r w:rsidRPr="008442A5">
        <w:rPr>
          <w:rFonts w:ascii="Times New Roman" w:hAnsi="Times New Roman" w:cs="Times New Roman"/>
          <w:b w:val="0"/>
          <w:color w:val="auto"/>
          <w:sz w:val="24"/>
          <w:szCs w:val="24"/>
        </w:rPr>
        <w:t xml:space="preserve">Законодавчою основою застосування Міжнародних Стандартів Фінансової Звітності (в подальшому – МСФЗ) є Закон України «Про бухгалтерський облік та фінансову звітність в Україні», в який  було внесено зміни відповідні зміни. </w:t>
      </w:r>
    </w:p>
    <w:p w:rsidR="00540581" w:rsidRPr="00540581" w:rsidRDefault="00540581" w:rsidP="00540581">
      <w:pPr>
        <w:pStyle w:val="11"/>
        <w:spacing w:before="0"/>
        <w:ind w:firstLine="567"/>
        <w:contextualSpacing/>
        <w:jc w:val="both"/>
        <w:rPr>
          <w:rFonts w:ascii="Times New Roman" w:hAnsi="Times New Roman" w:cs="Times New Roman"/>
          <w:b w:val="0"/>
          <w:color w:val="auto"/>
          <w:sz w:val="24"/>
          <w:szCs w:val="24"/>
        </w:rPr>
      </w:pPr>
      <w:r w:rsidRPr="008442A5">
        <w:rPr>
          <w:rFonts w:ascii="Times New Roman" w:hAnsi="Times New Roman" w:cs="Times New Roman"/>
          <w:b w:val="0"/>
          <w:color w:val="auto"/>
          <w:sz w:val="24"/>
          <w:szCs w:val="24"/>
        </w:rPr>
        <w:t>Незалежно від застосовуваного пакету стандартів товариство зобов’язане виконувати норми Закону України «Про</w:t>
      </w:r>
      <w:r w:rsidRPr="00540581">
        <w:rPr>
          <w:rFonts w:ascii="Times New Roman" w:hAnsi="Times New Roman" w:cs="Times New Roman"/>
          <w:b w:val="0"/>
          <w:color w:val="auto"/>
          <w:sz w:val="24"/>
          <w:szCs w:val="24"/>
        </w:rPr>
        <w:t xml:space="preserve"> бухгалтерський облік та фінансову звітність в Україні» і Порядку подання фінансової звітності, а також нормативно-правові акти щодо документального забезпечення записів у бухгалтерському обліку, проведення інвентаризації тощо.</w:t>
      </w:r>
    </w:p>
    <w:p w:rsidR="00540581" w:rsidRPr="00540581" w:rsidRDefault="00540581" w:rsidP="00540581">
      <w:pPr>
        <w:pStyle w:val="11"/>
        <w:spacing w:before="0"/>
        <w:ind w:firstLine="567"/>
        <w:contextualSpacing/>
        <w:jc w:val="both"/>
        <w:rPr>
          <w:rFonts w:ascii="Times New Roman" w:hAnsi="Times New Roman" w:cs="Times New Roman"/>
          <w:b w:val="0"/>
          <w:color w:val="auto"/>
          <w:sz w:val="24"/>
          <w:szCs w:val="24"/>
        </w:rPr>
      </w:pPr>
      <w:r w:rsidRPr="00540581">
        <w:rPr>
          <w:rFonts w:ascii="Times New Roman" w:hAnsi="Times New Roman" w:cs="Times New Roman"/>
          <w:b w:val="0"/>
          <w:color w:val="auto"/>
          <w:sz w:val="24"/>
          <w:szCs w:val="24"/>
        </w:rPr>
        <w:t>ПТ «ЛОМБАРД «ГАРАНТ-ЧЕРКАСИ» вів в 201</w:t>
      </w:r>
      <w:r w:rsidR="00D36270">
        <w:rPr>
          <w:rFonts w:ascii="Times New Roman" w:hAnsi="Times New Roman" w:cs="Times New Roman"/>
          <w:b w:val="0"/>
          <w:color w:val="auto"/>
          <w:sz w:val="24"/>
          <w:szCs w:val="24"/>
          <w:lang w:val="ru-RU"/>
        </w:rPr>
        <w:t>9</w:t>
      </w:r>
      <w:r w:rsidRPr="00540581">
        <w:rPr>
          <w:rFonts w:ascii="Times New Roman" w:hAnsi="Times New Roman" w:cs="Times New Roman"/>
          <w:b w:val="0"/>
          <w:color w:val="auto"/>
          <w:sz w:val="24"/>
          <w:szCs w:val="24"/>
        </w:rPr>
        <w:t xml:space="preserve"> році бухгалтерський облік відповідно до МСБО й на основі нього склав фінансову звітність за МСФЗ. </w:t>
      </w:r>
    </w:p>
    <w:p w:rsidR="00130A3A" w:rsidRPr="00130A3A" w:rsidRDefault="00130A3A" w:rsidP="00130A3A">
      <w:pPr>
        <w:pStyle w:val="af3"/>
        <w:contextualSpacing/>
        <w:rPr>
          <w:bCs/>
          <w:sz w:val="24"/>
          <w:szCs w:val="24"/>
        </w:rPr>
      </w:pPr>
      <w:r w:rsidRPr="00130A3A">
        <w:rPr>
          <w:bCs/>
          <w:sz w:val="24"/>
          <w:szCs w:val="24"/>
        </w:rPr>
        <w:t>Повний пакет фінансової звітності за 201</w:t>
      </w:r>
      <w:r w:rsidR="00D36270">
        <w:rPr>
          <w:bCs/>
          <w:sz w:val="24"/>
          <w:szCs w:val="24"/>
          <w:lang w:val="ru-RU"/>
        </w:rPr>
        <w:t>9</w:t>
      </w:r>
      <w:r w:rsidRPr="00130A3A">
        <w:rPr>
          <w:bCs/>
          <w:sz w:val="24"/>
          <w:szCs w:val="24"/>
        </w:rPr>
        <w:t xml:space="preserve"> рік, є фінансовою звітністю, складеною відповідно до МСФЗ, діючих станом на 31.12.201</w:t>
      </w:r>
      <w:r w:rsidR="00D36270">
        <w:rPr>
          <w:bCs/>
          <w:sz w:val="24"/>
          <w:szCs w:val="24"/>
          <w:lang w:val="ru-RU"/>
        </w:rPr>
        <w:t>9</w:t>
      </w:r>
      <w:r w:rsidRPr="00130A3A">
        <w:rPr>
          <w:bCs/>
          <w:sz w:val="24"/>
          <w:szCs w:val="24"/>
        </w:rPr>
        <w:t xml:space="preserve"> р</w:t>
      </w:r>
      <w:r>
        <w:rPr>
          <w:bCs/>
          <w:sz w:val="24"/>
          <w:szCs w:val="24"/>
        </w:rPr>
        <w:t>.</w:t>
      </w:r>
    </w:p>
    <w:p w:rsidR="00130A3A" w:rsidRPr="00130A3A" w:rsidRDefault="00130A3A" w:rsidP="00130A3A">
      <w:pPr>
        <w:pStyle w:val="af3"/>
        <w:contextualSpacing/>
        <w:rPr>
          <w:sz w:val="24"/>
          <w:szCs w:val="24"/>
        </w:rPr>
      </w:pPr>
      <w:r w:rsidRPr="00130A3A">
        <w:rPr>
          <w:sz w:val="24"/>
          <w:szCs w:val="24"/>
        </w:rPr>
        <w:t>У цих пояснювальних примітках наводиться додаткова інформація, розкриття якої вимагається Законом України «Про бухгалтерський облік та фінансову звітність в Україні» № 996-XIV від 16.07.1999 року, із змінами і доповненнями, та Міжнародними стандартами фінансової звітності, і яка не міститься у формах фінансової звітності:</w:t>
      </w:r>
    </w:p>
    <w:p w:rsidR="00130A3A" w:rsidRPr="00130A3A" w:rsidRDefault="00130A3A" w:rsidP="00130A3A">
      <w:pPr>
        <w:pStyle w:val="Standard"/>
        <w:widowControl w:val="0"/>
        <w:ind w:firstLine="567"/>
        <w:contextualSpacing/>
        <w:jc w:val="both"/>
        <w:rPr>
          <w:rFonts w:ascii="Times New Roman" w:eastAsia="Times New Roman" w:hAnsi="Times New Roman" w:cs="Times New Roman"/>
          <w:color w:val="00000A"/>
          <w:lang w:eastAsia="zh-CN"/>
        </w:rPr>
      </w:pPr>
    </w:p>
    <w:p w:rsidR="00130A3A" w:rsidRPr="00130A3A" w:rsidRDefault="00130A3A" w:rsidP="00130A3A">
      <w:pPr>
        <w:pStyle w:val="Standard"/>
        <w:widowControl w:val="0"/>
        <w:numPr>
          <w:ilvl w:val="0"/>
          <w:numId w:val="12"/>
        </w:numPr>
        <w:tabs>
          <w:tab w:val="clear" w:pos="0"/>
          <w:tab w:val="num" w:pos="567"/>
        </w:tabs>
        <w:ind w:firstLine="567"/>
        <w:contextualSpacing/>
        <w:jc w:val="both"/>
        <w:rPr>
          <w:rFonts w:ascii="Times New Roman" w:eastAsia="Calibri" w:hAnsi="Times New Roman" w:cs="Times New Roman"/>
          <w:color w:val="00000A"/>
          <w:lang w:eastAsia="zh-CN"/>
        </w:rPr>
      </w:pPr>
      <w:r w:rsidRPr="00130A3A">
        <w:rPr>
          <w:rFonts w:ascii="Times New Roman" w:eastAsia="Calibri" w:hAnsi="Times New Roman" w:cs="Times New Roman"/>
          <w:color w:val="00000A"/>
          <w:lang w:eastAsia="zh-CN"/>
        </w:rPr>
        <w:t>Баланс (звіт про фінансовий стан),</w:t>
      </w:r>
    </w:p>
    <w:p w:rsidR="00130A3A" w:rsidRPr="00130A3A" w:rsidRDefault="00130A3A" w:rsidP="00130A3A">
      <w:pPr>
        <w:pStyle w:val="Standard"/>
        <w:widowControl w:val="0"/>
        <w:numPr>
          <w:ilvl w:val="0"/>
          <w:numId w:val="12"/>
        </w:numPr>
        <w:tabs>
          <w:tab w:val="clear" w:pos="0"/>
          <w:tab w:val="num" w:pos="567"/>
        </w:tabs>
        <w:ind w:firstLine="567"/>
        <w:contextualSpacing/>
        <w:jc w:val="both"/>
        <w:rPr>
          <w:rFonts w:ascii="Times New Roman" w:eastAsia="Calibri" w:hAnsi="Times New Roman" w:cs="Times New Roman"/>
          <w:color w:val="00000A"/>
          <w:lang w:eastAsia="zh-CN"/>
        </w:rPr>
      </w:pPr>
      <w:r w:rsidRPr="00130A3A">
        <w:rPr>
          <w:rFonts w:ascii="Times New Roman" w:eastAsia="Calibri" w:hAnsi="Times New Roman" w:cs="Times New Roman"/>
          <w:color w:val="00000A"/>
          <w:lang w:eastAsia="zh-CN"/>
        </w:rPr>
        <w:t>Звіт про фінансові результати (звіт про сукупний дохід),</w:t>
      </w:r>
    </w:p>
    <w:p w:rsidR="00130A3A" w:rsidRPr="00130A3A" w:rsidRDefault="00130A3A" w:rsidP="00130A3A">
      <w:pPr>
        <w:pStyle w:val="Standard"/>
        <w:widowControl w:val="0"/>
        <w:numPr>
          <w:ilvl w:val="0"/>
          <w:numId w:val="12"/>
        </w:numPr>
        <w:tabs>
          <w:tab w:val="clear" w:pos="0"/>
          <w:tab w:val="num" w:pos="567"/>
        </w:tabs>
        <w:ind w:firstLine="567"/>
        <w:contextualSpacing/>
        <w:jc w:val="both"/>
        <w:rPr>
          <w:rFonts w:ascii="Times New Roman" w:eastAsia="Calibri" w:hAnsi="Times New Roman" w:cs="Times New Roman"/>
          <w:color w:val="00000A"/>
          <w:lang w:eastAsia="zh-CN"/>
        </w:rPr>
      </w:pPr>
      <w:r w:rsidRPr="00130A3A">
        <w:rPr>
          <w:rFonts w:ascii="Times New Roman" w:eastAsia="Calibri" w:hAnsi="Times New Roman" w:cs="Times New Roman"/>
          <w:color w:val="00000A"/>
          <w:lang w:eastAsia="zh-CN"/>
        </w:rPr>
        <w:t>Звіт про рух грошових коштів (за прямим методом),</w:t>
      </w:r>
    </w:p>
    <w:p w:rsidR="00130A3A" w:rsidRPr="00130A3A" w:rsidRDefault="00130A3A" w:rsidP="00130A3A">
      <w:pPr>
        <w:pStyle w:val="Standard"/>
        <w:widowControl w:val="0"/>
        <w:numPr>
          <w:ilvl w:val="0"/>
          <w:numId w:val="12"/>
        </w:numPr>
        <w:tabs>
          <w:tab w:val="clear" w:pos="0"/>
          <w:tab w:val="num" w:pos="567"/>
        </w:tabs>
        <w:ind w:firstLine="567"/>
        <w:contextualSpacing/>
        <w:jc w:val="both"/>
        <w:rPr>
          <w:rFonts w:ascii="Times New Roman" w:eastAsia="Calibri" w:hAnsi="Times New Roman" w:cs="Times New Roman"/>
          <w:color w:val="00000A"/>
          <w:lang w:eastAsia="zh-CN"/>
        </w:rPr>
      </w:pPr>
      <w:r w:rsidRPr="00130A3A">
        <w:rPr>
          <w:rFonts w:ascii="Times New Roman" w:eastAsia="Calibri" w:hAnsi="Times New Roman" w:cs="Times New Roman"/>
          <w:color w:val="00000A"/>
          <w:lang w:eastAsia="zh-CN"/>
        </w:rPr>
        <w:t>Звіт про власний капітал.</w:t>
      </w:r>
    </w:p>
    <w:p w:rsidR="00130A3A" w:rsidRPr="00130A3A" w:rsidRDefault="00130A3A" w:rsidP="00130A3A">
      <w:pPr>
        <w:pStyle w:val="af3"/>
        <w:contextualSpacing/>
        <w:rPr>
          <w:sz w:val="24"/>
          <w:szCs w:val="24"/>
        </w:rPr>
      </w:pPr>
    </w:p>
    <w:p w:rsidR="00130A3A" w:rsidRPr="00130A3A" w:rsidRDefault="00130A3A" w:rsidP="00130A3A">
      <w:pPr>
        <w:pStyle w:val="Standard"/>
        <w:widowControl w:val="0"/>
        <w:ind w:firstLine="567"/>
        <w:contextualSpacing/>
        <w:jc w:val="both"/>
        <w:rPr>
          <w:rFonts w:ascii="Times New Roman" w:hAnsi="Times New Roman" w:cs="Times New Roman"/>
        </w:rPr>
      </w:pPr>
      <w:r w:rsidRPr="00130A3A">
        <w:rPr>
          <w:rStyle w:val="14"/>
          <w:rFonts w:ascii="Times New Roman" w:hAnsi="Times New Roman" w:cs="Times New Roman"/>
        </w:rPr>
        <w:t>Відповідно МСБО 1 «Подання фінансової звітності» фінансова звітність Товариства є фінансовою звітністю загального призначення, яка має на меті задовольнити потреби користувачів, які не можуть вимагати складати звітність згідно з їхніми інформаційними потребами. Метою фінансової звітності є надання інформації про фінансовий стан, фінансові результати діяльності та грошові потоки Товариства, яка є корисною для широкого кола користувачів у разі прийняття ними економічних рішень.</w:t>
      </w:r>
    </w:p>
    <w:p w:rsidR="00540581" w:rsidRDefault="00130A3A" w:rsidP="00130A3A">
      <w:pPr>
        <w:pStyle w:val="12"/>
        <w:shd w:val="clear" w:color="auto" w:fill="auto"/>
        <w:spacing w:before="0" w:after="0" w:line="240" w:lineRule="auto"/>
        <w:ind w:firstLine="567"/>
        <w:contextualSpacing/>
        <w:jc w:val="both"/>
        <w:rPr>
          <w:sz w:val="24"/>
          <w:szCs w:val="24"/>
          <w:lang w:val="uk-UA"/>
        </w:rPr>
      </w:pPr>
      <w:r w:rsidRPr="00130A3A">
        <w:rPr>
          <w:sz w:val="24"/>
          <w:szCs w:val="24"/>
          <w:lang w:val="uk-UA"/>
        </w:rPr>
        <w:t xml:space="preserve">Цей  фінансовий звіт підготовлений  відповідно до Міжнародних Стандартів  Фінансової Звітності (МСФЗ). </w:t>
      </w:r>
    </w:p>
    <w:p w:rsidR="00130A3A" w:rsidRPr="00540581" w:rsidRDefault="00130A3A" w:rsidP="00130A3A">
      <w:pPr>
        <w:pStyle w:val="12"/>
        <w:shd w:val="clear" w:color="auto" w:fill="auto"/>
        <w:spacing w:before="0" w:after="0" w:line="240" w:lineRule="auto"/>
        <w:ind w:firstLine="567"/>
        <w:contextualSpacing/>
        <w:jc w:val="both"/>
        <w:rPr>
          <w:sz w:val="24"/>
          <w:szCs w:val="24"/>
          <w:lang w:val="uk-UA"/>
        </w:rPr>
      </w:pPr>
      <w:r w:rsidRPr="00540581">
        <w:rPr>
          <w:sz w:val="24"/>
          <w:szCs w:val="24"/>
          <w:lang w:val="uk-UA"/>
        </w:rPr>
        <w:t>До ДФС та Статистики фінансова звітність подана з урахуванням вимог щодо форм та складу звітів, встановлених українським законодавством</w:t>
      </w:r>
      <w:r w:rsidR="00540581" w:rsidRPr="00540581">
        <w:rPr>
          <w:sz w:val="24"/>
          <w:szCs w:val="24"/>
          <w:lang w:val="uk-UA"/>
        </w:rPr>
        <w:t>.</w:t>
      </w:r>
      <w:r w:rsidRPr="00540581">
        <w:rPr>
          <w:sz w:val="24"/>
          <w:szCs w:val="24"/>
          <w:lang w:val="uk-UA"/>
        </w:rPr>
        <w:t xml:space="preserve"> </w:t>
      </w:r>
      <w:r w:rsidR="00540581" w:rsidRPr="00540581">
        <w:rPr>
          <w:sz w:val="24"/>
          <w:szCs w:val="24"/>
          <w:lang w:val="uk-UA"/>
        </w:rPr>
        <w:t xml:space="preserve">ЇЇ  складено за формами, встановленими </w:t>
      </w:r>
      <w:hyperlink r:id="rId8" w:history="1">
        <w:r w:rsidR="00540581" w:rsidRPr="00540581">
          <w:rPr>
            <w:rStyle w:val="af0"/>
            <w:bCs/>
            <w:color w:val="auto"/>
            <w:sz w:val="24"/>
            <w:szCs w:val="24"/>
            <w:u w:val="none"/>
            <w:lang w:val="uk-UA"/>
          </w:rPr>
          <w:t>Національним положенням (стандартом) бухгалтерського обліку 1 «Загальні вимоги до фінансової звітності», затверджене наказом МФУ від 07.02.2013 р. № 73</w:t>
        </w:r>
      </w:hyperlink>
      <w:r w:rsidR="00540581" w:rsidRPr="00540581">
        <w:rPr>
          <w:sz w:val="24"/>
          <w:szCs w:val="24"/>
          <w:lang w:val="uk-UA"/>
        </w:rPr>
        <w:t>, з урахуванням норм МСФЗ, які застосовуються щодо звітного періоду, який закінчився 31.12.201</w:t>
      </w:r>
      <w:r w:rsidR="00D36270">
        <w:rPr>
          <w:sz w:val="24"/>
          <w:szCs w:val="24"/>
          <w:lang w:val="uk-UA"/>
        </w:rPr>
        <w:t xml:space="preserve">9 </w:t>
      </w:r>
      <w:r w:rsidR="00540581" w:rsidRPr="00540581">
        <w:rPr>
          <w:sz w:val="24"/>
          <w:szCs w:val="24"/>
          <w:lang w:val="uk-UA"/>
        </w:rPr>
        <w:t xml:space="preserve">р, </w:t>
      </w:r>
      <w:r w:rsidRPr="00540581">
        <w:rPr>
          <w:sz w:val="24"/>
          <w:szCs w:val="24"/>
          <w:lang w:val="uk-UA"/>
        </w:rPr>
        <w:t xml:space="preserve">та </w:t>
      </w:r>
      <w:r w:rsidR="00540581" w:rsidRPr="00540581">
        <w:rPr>
          <w:sz w:val="24"/>
          <w:szCs w:val="24"/>
          <w:lang w:val="uk-UA"/>
        </w:rPr>
        <w:t xml:space="preserve">яка </w:t>
      </w:r>
      <w:r w:rsidRPr="00540581">
        <w:rPr>
          <w:sz w:val="24"/>
          <w:szCs w:val="24"/>
          <w:lang w:val="uk-UA"/>
        </w:rPr>
        <w:t xml:space="preserve"> складається з:</w:t>
      </w:r>
    </w:p>
    <w:p w:rsidR="00130A3A" w:rsidRPr="00130A3A" w:rsidRDefault="00130A3A" w:rsidP="00130A3A">
      <w:pPr>
        <w:pStyle w:val="12"/>
        <w:numPr>
          <w:ilvl w:val="0"/>
          <w:numId w:val="10"/>
        </w:numPr>
        <w:shd w:val="clear" w:color="auto" w:fill="auto"/>
        <w:spacing w:before="0" w:after="0" w:line="240" w:lineRule="auto"/>
        <w:ind w:left="0" w:firstLine="567"/>
        <w:contextualSpacing/>
        <w:jc w:val="both"/>
        <w:rPr>
          <w:sz w:val="24"/>
          <w:szCs w:val="24"/>
          <w:lang w:val="uk-UA"/>
        </w:rPr>
      </w:pPr>
      <w:r w:rsidRPr="00130A3A">
        <w:rPr>
          <w:sz w:val="24"/>
          <w:szCs w:val="24"/>
          <w:lang w:val="uk-UA"/>
        </w:rPr>
        <w:t>Баланс (Звіт про фінансовий стан) на 31.12.201</w:t>
      </w:r>
      <w:r w:rsidR="00D36270">
        <w:rPr>
          <w:sz w:val="24"/>
          <w:szCs w:val="24"/>
          <w:lang w:val="uk-UA"/>
        </w:rPr>
        <w:t>9</w:t>
      </w:r>
      <w:r w:rsidRPr="00130A3A">
        <w:rPr>
          <w:sz w:val="24"/>
          <w:szCs w:val="24"/>
          <w:lang w:val="uk-UA"/>
        </w:rPr>
        <w:t xml:space="preserve"> р.;</w:t>
      </w:r>
    </w:p>
    <w:p w:rsidR="00130A3A" w:rsidRPr="00130A3A" w:rsidRDefault="00130A3A" w:rsidP="00130A3A">
      <w:pPr>
        <w:pStyle w:val="12"/>
        <w:numPr>
          <w:ilvl w:val="0"/>
          <w:numId w:val="10"/>
        </w:numPr>
        <w:shd w:val="clear" w:color="auto" w:fill="auto"/>
        <w:spacing w:before="0" w:after="0" w:line="240" w:lineRule="auto"/>
        <w:ind w:left="0" w:firstLine="567"/>
        <w:contextualSpacing/>
        <w:jc w:val="both"/>
        <w:rPr>
          <w:sz w:val="24"/>
          <w:szCs w:val="24"/>
          <w:lang w:val="uk-UA"/>
        </w:rPr>
      </w:pPr>
      <w:r w:rsidRPr="00130A3A">
        <w:rPr>
          <w:sz w:val="24"/>
          <w:szCs w:val="24"/>
          <w:lang w:val="uk-UA"/>
        </w:rPr>
        <w:t>Звіт про фінансові результати (Звіт про сукупний дохід) за 201</w:t>
      </w:r>
      <w:r w:rsidR="00D36270">
        <w:rPr>
          <w:sz w:val="24"/>
          <w:szCs w:val="24"/>
          <w:lang w:val="uk-UA"/>
        </w:rPr>
        <w:t>9</w:t>
      </w:r>
      <w:r w:rsidRPr="00130A3A">
        <w:rPr>
          <w:sz w:val="24"/>
          <w:szCs w:val="24"/>
          <w:lang w:val="uk-UA"/>
        </w:rPr>
        <w:t xml:space="preserve"> рік, що закінчився 31.12.201</w:t>
      </w:r>
      <w:r w:rsidR="00D36270">
        <w:rPr>
          <w:sz w:val="24"/>
          <w:szCs w:val="24"/>
          <w:lang w:val="uk-UA"/>
        </w:rPr>
        <w:t>9</w:t>
      </w:r>
      <w:r w:rsidRPr="00130A3A">
        <w:rPr>
          <w:sz w:val="24"/>
          <w:szCs w:val="24"/>
          <w:lang w:val="uk-UA"/>
        </w:rPr>
        <w:t xml:space="preserve"> р.;</w:t>
      </w:r>
    </w:p>
    <w:p w:rsidR="00130A3A" w:rsidRPr="00130A3A" w:rsidRDefault="00130A3A" w:rsidP="00130A3A">
      <w:pPr>
        <w:pStyle w:val="12"/>
        <w:numPr>
          <w:ilvl w:val="0"/>
          <w:numId w:val="10"/>
        </w:numPr>
        <w:shd w:val="clear" w:color="auto" w:fill="auto"/>
        <w:spacing w:before="0" w:after="0" w:line="240" w:lineRule="auto"/>
        <w:ind w:left="0" w:firstLine="567"/>
        <w:contextualSpacing/>
        <w:jc w:val="both"/>
        <w:rPr>
          <w:sz w:val="24"/>
          <w:szCs w:val="24"/>
          <w:lang w:val="uk-UA"/>
        </w:rPr>
      </w:pPr>
      <w:r w:rsidRPr="00130A3A">
        <w:rPr>
          <w:sz w:val="24"/>
          <w:szCs w:val="24"/>
          <w:lang w:val="uk-UA"/>
        </w:rPr>
        <w:t>Звіт про рух грошових коштів (складено за прямим методом) за 201</w:t>
      </w:r>
      <w:r w:rsidR="00D36270">
        <w:rPr>
          <w:sz w:val="24"/>
          <w:szCs w:val="24"/>
          <w:lang w:val="uk-UA"/>
        </w:rPr>
        <w:t>9</w:t>
      </w:r>
      <w:r w:rsidRPr="00130A3A">
        <w:rPr>
          <w:sz w:val="24"/>
          <w:szCs w:val="24"/>
          <w:lang w:val="uk-UA"/>
        </w:rPr>
        <w:t xml:space="preserve"> рік, що закінчився 31.12.201</w:t>
      </w:r>
      <w:r w:rsidR="00D36270">
        <w:rPr>
          <w:sz w:val="24"/>
          <w:szCs w:val="24"/>
          <w:lang w:val="uk-UA"/>
        </w:rPr>
        <w:t>9</w:t>
      </w:r>
      <w:r w:rsidRPr="00130A3A">
        <w:rPr>
          <w:sz w:val="24"/>
          <w:szCs w:val="24"/>
          <w:lang w:val="uk-UA"/>
        </w:rPr>
        <w:t xml:space="preserve"> р.;</w:t>
      </w:r>
    </w:p>
    <w:p w:rsidR="00130A3A" w:rsidRPr="00130A3A" w:rsidRDefault="00130A3A" w:rsidP="00130A3A">
      <w:pPr>
        <w:pStyle w:val="12"/>
        <w:numPr>
          <w:ilvl w:val="0"/>
          <w:numId w:val="10"/>
        </w:numPr>
        <w:shd w:val="clear" w:color="auto" w:fill="auto"/>
        <w:spacing w:before="0" w:after="0" w:line="240" w:lineRule="auto"/>
        <w:ind w:left="0" w:firstLine="567"/>
        <w:contextualSpacing/>
        <w:jc w:val="both"/>
        <w:rPr>
          <w:sz w:val="24"/>
          <w:szCs w:val="24"/>
          <w:lang w:val="uk-UA"/>
        </w:rPr>
      </w:pPr>
      <w:r w:rsidRPr="00130A3A">
        <w:rPr>
          <w:sz w:val="24"/>
          <w:szCs w:val="24"/>
          <w:lang w:val="uk-UA"/>
        </w:rPr>
        <w:t>Звіт про власний капітал за 201</w:t>
      </w:r>
      <w:r w:rsidR="00D36270">
        <w:rPr>
          <w:sz w:val="24"/>
          <w:szCs w:val="24"/>
          <w:lang w:val="uk-UA"/>
        </w:rPr>
        <w:t>9</w:t>
      </w:r>
      <w:r w:rsidRPr="00130A3A">
        <w:rPr>
          <w:sz w:val="24"/>
          <w:szCs w:val="24"/>
          <w:lang w:val="uk-UA"/>
        </w:rPr>
        <w:t xml:space="preserve"> рік, що закінчився 31.12.201</w:t>
      </w:r>
      <w:r w:rsidR="00D36270">
        <w:rPr>
          <w:sz w:val="24"/>
          <w:szCs w:val="24"/>
          <w:lang w:val="uk-UA"/>
        </w:rPr>
        <w:t>9</w:t>
      </w:r>
      <w:r w:rsidRPr="00130A3A">
        <w:rPr>
          <w:sz w:val="24"/>
          <w:szCs w:val="24"/>
          <w:lang w:val="uk-UA"/>
        </w:rPr>
        <w:t xml:space="preserve"> р.;</w:t>
      </w:r>
    </w:p>
    <w:p w:rsidR="00130A3A" w:rsidRDefault="00130A3A" w:rsidP="00130A3A">
      <w:pPr>
        <w:pStyle w:val="12"/>
        <w:numPr>
          <w:ilvl w:val="0"/>
          <w:numId w:val="10"/>
        </w:numPr>
        <w:shd w:val="clear" w:color="auto" w:fill="auto"/>
        <w:spacing w:before="0" w:after="0" w:line="240" w:lineRule="auto"/>
        <w:ind w:left="0" w:firstLine="567"/>
        <w:contextualSpacing/>
        <w:jc w:val="both"/>
        <w:rPr>
          <w:sz w:val="24"/>
          <w:szCs w:val="24"/>
          <w:lang w:val="uk-UA"/>
        </w:rPr>
      </w:pPr>
      <w:r w:rsidRPr="00130A3A">
        <w:rPr>
          <w:sz w:val="24"/>
          <w:szCs w:val="24"/>
          <w:lang w:val="uk-UA"/>
        </w:rPr>
        <w:t>Примітки до фінансової звітності</w:t>
      </w:r>
      <w:r w:rsidR="00540581">
        <w:rPr>
          <w:sz w:val="24"/>
          <w:szCs w:val="24"/>
          <w:lang w:val="uk-UA"/>
        </w:rPr>
        <w:t>.</w:t>
      </w:r>
    </w:p>
    <w:p w:rsidR="004D7AFF" w:rsidRDefault="004D7AFF" w:rsidP="00FB4491">
      <w:pPr>
        <w:pStyle w:val="Standard"/>
        <w:widowControl w:val="0"/>
        <w:ind w:left="720"/>
        <w:jc w:val="center"/>
        <w:rPr>
          <w:rFonts w:ascii="Times New Roman" w:eastAsia="Times New Roman" w:hAnsi="Times New Roman" w:cs="Times New Roman"/>
          <w:b/>
          <w:color w:val="00000A"/>
          <w:lang w:eastAsia="zh-CN"/>
        </w:rPr>
      </w:pPr>
    </w:p>
    <w:p w:rsidR="00FB4491" w:rsidRPr="004D7AFF" w:rsidRDefault="00FB4491" w:rsidP="00FB4491">
      <w:pPr>
        <w:pStyle w:val="Standard"/>
        <w:widowControl w:val="0"/>
        <w:ind w:left="720"/>
        <w:jc w:val="center"/>
        <w:rPr>
          <w:rFonts w:ascii="Times New Roman" w:eastAsia="Times New Roman" w:hAnsi="Times New Roman" w:cs="Times New Roman"/>
          <w:b/>
          <w:i/>
          <w:color w:val="00000A"/>
          <w:lang w:eastAsia="zh-CN"/>
        </w:rPr>
      </w:pPr>
      <w:r w:rsidRPr="004D7AFF">
        <w:rPr>
          <w:rFonts w:ascii="Times New Roman" w:eastAsia="Times New Roman" w:hAnsi="Times New Roman" w:cs="Times New Roman"/>
          <w:b/>
          <w:i/>
          <w:color w:val="00000A"/>
          <w:lang w:eastAsia="zh-CN"/>
        </w:rPr>
        <w:t>Виправлення помилок</w:t>
      </w:r>
    </w:p>
    <w:p w:rsidR="00FB4491" w:rsidRDefault="00FB4491" w:rsidP="00FB4491">
      <w:pPr>
        <w:pStyle w:val="Standard"/>
        <w:widowControl w:val="0"/>
        <w:ind w:left="720"/>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Ця фінансова звітність не містить виправлення помилок попередніх звітних періодів.</w:t>
      </w:r>
    </w:p>
    <w:p w:rsidR="004D7AFF" w:rsidRDefault="004D7AFF" w:rsidP="004D7AFF">
      <w:pPr>
        <w:pStyle w:val="21"/>
        <w:spacing w:before="0"/>
        <w:ind w:firstLine="567"/>
        <w:contextualSpacing/>
        <w:jc w:val="center"/>
        <w:outlineLvl w:val="9"/>
        <w:rPr>
          <w:rStyle w:val="14"/>
          <w:rFonts w:ascii="Times New Roman" w:hAnsi="Times New Roman" w:cs="Times New Roman"/>
          <w:i/>
          <w:color w:val="auto"/>
          <w:sz w:val="24"/>
          <w:szCs w:val="24"/>
          <w:lang w:val="uk-UA"/>
        </w:rPr>
      </w:pPr>
      <w:r w:rsidRPr="004D7AFF">
        <w:rPr>
          <w:rStyle w:val="14"/>
          <w:rFonts w:ascii="Times New Roman" w:hAnsi="Times New Roman" w:cs="Times New Roman"/>
          <w:i/>
          <w:color w:val="auto"/>
          <w:sz w:val="24"/>
          <w:szCs w:val="24"/>
          <w:lang w:val="uk-UA"/>
        </w:rPr>
        <w:t>Припущення про безперервність діяльності</w:t>
      </w:r>
    </w:p>
    <w:p w:rsidR="002A0906" w:rsidRPr="002A0906" w:rsidRDefault="002A0906" w:rsidP="002A0906">
      <w:pPr>
        <w:pStyle w:val="Textbody"/>
        <w:rPr>
          <w:lang w:val="uk-UA" w:eastAsia="ru-RU"/>
        </w:rPr>
      </w:pPr>
    </w:p>
    <w:p w:rsidR="004D7AFF" w:rsidRDefault="004D7AFF" w:rsidP="004D7AFF">
      <w:pPr>
        <w:pStyle w:val="Standard"/>
        <w:widowControl w:val="0"/>
        <w:ind w:firstLine="567"/>
        <w:contextualSpacing/>
        <w:jc w:val="both"/>
        <w:rPr>
          <w:rFonts w:ascii="Times New Roman" w:hAnsi="Times New Roman" w:cs="Times New Roman"/>
        </w:rPr>
      </w:pPr>
      <w:r w:rsidRPr="0009311F">
        <w:rPr>
          <w:rFonts w:ascii="Times New Roman" w:hAnsi="Times New Roman" w:cs="Times New Roman"/>
        </w:rPr>
        <w:lastRenderedPageBreak/>
        <w:t xml:space="preserve">Відповідно до вимог п. 25 МСБО 1 «Подання фінансової звітності» ця фінансова звітність була підготовлена на основі припущення про безперервність діяльності, відповідно до якого реалізація активів і погашення зобов’язань відбувається в ході звичайної діяльності. </w:t>
      </w:r>
    </w:p>
    <w:p w:rsidR="004D7AFF" w:rsidRDefault="004D7AFF" w:rsidP="004D7AFF">
      <w:pPr>
        <w:pStyle w:val="Standard"/>
        <w:widowControl w:val="0"/>
        <w:ind w:firstLine="567"/>
        <w:contextualSpacing/>
        <w:jc w:val="both"/>
        <w:rPr>
          <w:rFonts w:ascii="Times New Roman" w:hAnsi="Times New Roman" w:cs="Times New Roman"/>
        </w:rPr>
      </w:pPr>
      <w:r w:rsidRPr="0009311F">
        <w:rPr>
          <w:rFonts w:ascii="Times New Roman" w:hAnsi="Times New Roman" w:cs="Times New Roman"/>
        </w:rPr>
        <w:t>Фінансова звітність не включає коригування, які необхідно було б провести в тому випадку, як би Товариство не могло продовжити провадження фінансово-господарської діяльності відповідно до принципів безперервності діяльності.</w:t>
      </w:r>
    </w:p>
    <w:p w:rsidR="004D7AFF" w:rsidRPr="00A62950" w:rsidRDefault="004D7AFF" w:rsidP="004D7AFF">
      <w:pPr>
        <w:pStyle w:val="ABC-paragrahinNotes"/>
        <w:spacing w:after="0"/>
        <w:ind w:firstLine="709"/>
        <w:contextualSpacing/>
        <w:rPr>
          <w:rFonts w:ascii="Times New Roman" w:hAnsi="Times New Roman"/>
          <w:sz w:val="24"/>
          <w:szCs w:val="24"/>
          <w:lang w:val="uk-UA"/>
        </w:rPr>
      </w:pPr>
      <w:r w:rsidRPr="00A62950">
        <w:rPr>
          <w:rStyle w:val="hps"/>
          <w:rFonts w:ascii="Times New Roman" w:eastAsia="Calibri" w:hAnsi="Times New Roman"/>
          <w:sz w:val="24"/>
          <w:szCs w:val="24"/>
          <w:lang w:val="uk-UA"/>
        </w:rPr>
        <w:t>Керівництво</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не може передбачити</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всі</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тенденції</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які</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можуть</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впливати</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на</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 xml:space="preserve"> фінансовий </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сектор</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та інші галузі економіки</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а</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також</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те</w:t>
      </w:r>
      <w:r w:rsidRPr="00A62950">
        <w:rPr>
          <w:rFonts w:ascii="Times New Roman" w:hAnsi="Times New Roman"/>
          <w:sz w:val="24"/>
          <w:szCs w:val="24"/>
          <w:lang w:val="uk-UA"/>
        </w:rPr>
        <w:t xml:space="preserve">, який вплив </w:t>
      </w:r>
      <w:r w:rsidRPr="00A62950">
        <w:rPr>
          <w:rStyle w:val="hps"/>
          <w:rFonts w:ascii="Times New Roman" w:eastAsia="Calibri" w:hAnsi="Times New Roman"/>
          <w:sz w:val="24"/>
          <w:szCs w:val="24"/>
          <w:lang w:val="uk-UA"/>
        </w:rPr>
        <w:t>(</w:t>
      </w:r>
      <w:r w:rsidRPr="00A62950">
        <w:rPr>
          <w:rFonts w:ascii="Times New Roman" w:hAnsi="Times New Roman"/>
          <w:sz w:val="24"/>
          <w:szCs w:val="24"/>
          <w:lang w:val="uk-UA"/>
        </w:rPr>
        <w:t xml:space="preserve">за наявності такого) </w:t>
      </w:r>
      <w:r w:rsidRPr="00A62950">
        <w:rPr>
          <w:rStyle w:val="hps"/>
          <w:rFonts w:ascii="Times New Roman" w:eastAsia="Calibri" w:hAnsi="Times New Roman"/>
          <w:sz w:val="24"/>
          <w:szCs w:val="24"/>
          <w:lang w:val="uk-UA"/>
        </w:rPr>
        <w:t>вони</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можуть мати</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на</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майбутній</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фінансовий стан</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Товариства</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Керівництво</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впевнене, що</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воно</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вживає всіх необхідних заходів</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для</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забезпечення стабільної діяльності</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та</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розвитку</w:t>
      </w:r>
      <w:r w:rsidRPr="00A62950">
        <w:rPr>
          <w:rFonts w:ascii="Times New Roman" w:hAnsi="Times New Roman"/>
          <w:sz w:val="24"/>
          <w:szCs w:val="24"/>
          <w:lang w:val="uk-UA"/>
        </w:rPr>
        <w:t xml:space="preserve"> </w:t>
      </w:r>
      <w:r w:rsidRPr="00A62950">
        <w:rPr>
          <w:rStyle w:val="hps"/>
          <w:rFonts w:ascii="Times New Roman" w:eastAsia="Calibri" w:hAnsi="Times New Roman"/>
          <w:sz w:val="24"/>
          <w:szCs w:val="24"/>
          <w:lang w:val="uk-UA"/>
        </w:rPr>
        <w:t>Товариства</w:t>
      </w:r>
      <w:r w:rsidRPr="00A62950">
        <w:rPr>
          <w:rFonts w:ascii="Times New Roman" w:hAnsi="Times New Roman"/>
          <w:sz w:val="24"/>
          <w:szCs w:val="24"/>
          <w:lang w:val="uk-UA"/>
        </w:rPr>
        <w:t>.</w:t>
      </w:r>
    </w:p>
    <w:p w:rsidR="004D7AFF" w:rsidRPr="0009311F" w:rsidRDefault="004D7AFF" w:rsidP="004D7AFF">
      <w:pPr>
        <w:pStyle w:val="12"/>
        <w:shd w:val="clear" w:color="auto" w:fill="auto"/>
        <w:spacing w:before="0" w:after="0" w:line="240" w:lineRule="auto"/>
        <w:ind w:firstLine="567"/>
        <w:contextualSpacing/>
        <w:jc w:val="both"/>
        <w:rPr>
          <w:sz w:val="24"/>
          <w:szCs w:val="24"/>
          <w:lang w:val="uk-UA"/>
        </w:rPr>
      </w:pPr>
      <w:r w:rsidRPr="0009311F">
        <w:rPr>
          <w:sz w:val="24"/>
          <w:szCs w:val="24"/>
          <w:lang w:val="uk-UA"/>
        </w:rPr>
        <w:t>Фінансовий звіт підготовлений на основі припущення безперервності діяльності.</w:t>
      </w:r>
    </w:p>
    <w:p w:rsidR="004D7AFF" w:rsidRPr="0009311F" w:rsidRDefault="004D7AFF" w:rsidP="004D7AFF">
      <w:pPr>
        <w:pStyle w:val="12"/>
        <w:shd w:val="clear" w:color="auto" w:fill="auto"/>
        <w:spacing w:before="0" w:after="0" w:line="240" w:lineRule="auto"/>
        <w:ind w:firstLine="567"/>
        <w:contextualSpacing/>
        <w:jc w:val="both"/>
        <w:rPr>
          <w:sz w:val="24"/>
          <w:szCs w:val="24"/>
          <w:lang w:val="uk-UA"/>
        </w:rPr>
      </w:pPr>
      <w:r w:rsidRPr="0009311F">
        <w:rPr>
          <w:sz w:val="24"/>
          <w:szCs w:val="24"/>
          <w:lang w:val="uk-UA"/>
        </w:rPr>
        <w:t>Засновники Товариства  підтверджують про продовження фінансування  Товариства, для надання можливості   продовжувати її діяльність на безперервні основі.  Виходячи з цього керівництво впевнено, що Товариство можна признати безперервно діючим. На цьому принципі основана підготовка фінансового звіту.</w:t>
      </w:r>
    </w:p>
    <w:p w:rsidR="00FB4491" w:rsidRPr="00130A3A" w:rsidRDefault="00FB4491" w:rsidP="00FB4491">
      <w:pPr>
        <w:pStyle w:val="12"/>
        <w:shd w:val="clear" w:color="auto" w:fill="auto"/>
        <w:spacing w:before="0" w:after="0" w:line="240" w:lineRule="auto"/>
        <w:ind w:left="567" w:firstLine="0"/>
        <w:contextualSpacing/>
        <w:jc w:val="both"/>
        <w:rPr>
          <w:sz w:val="24"/>
          <w:szCs w:val="24"/>
          <w:lang w:val="uk-UA"/>
        </w:rPr>
      </w:pPr>
    </w:p>
    <w:p w:rsidR="00130A3A" w:rsidRDefault="00130A3A" w:rsidP="00211AEB">
      <w:pPr>
        <w:autoSpaceDE w:val="0"/>
        <w:autoSpaceDN w:val="0"/>
        <w:adjustRightInd w:val="0"/>
        <w:ind w:firstLine="540"/>
        <w:jc w:val="both"/>
        <w:rPr>
          <w:b/>
          <w:bCs/>
          <w:szCs w:val="24"/>
        </w:rPr>
      </w:pPr>
    </w:p>
    <w:p w:rsidR="00540581" w:rsidRPr="004035A4" w:rsidRDefault="00540581" w:rsidP="00FB4491">
      <w:pPr>
        <w:autoSpaceDE w:val="0"/>
        <w:autoSpaceDN w:val="0"/>
        <w:adjustRightInd w:val="0"/>
        <w:ind w:firstLine="540"/>
        <w:jc w:val="center"/>
        <w:rPr>
          <w:b/>
          <w:bCs/>
          <w:szCs w:val="24"/>
        </w:rPr>
      </w:pPr>
      <w:r w:rsidRPr="004035A4">
        <w:rPr>
          <w:b/>
          <w:bCs/>
          <w:szCs w:val="24"/>
        </w:rPr>
        <w:t xml:space="preserve">2. </w:t>
      </w:r>
      <w:r>
        <w:rPr>
          <w:b/>
          <w:bCs/>
          <w:szCs w:val="24"/>
        </w:rPr>
        <w:t>С</w:t>
      </w:r>
      <w:r w:rsidRPr="004035A4">
        <w:rPr>
          <w:b/>
          <w:bCs/>
          <w:szCs w:val="24"/>
        </w:rPr>
        <w:t>тандарти та тлумачення</w:t>
      </w:r>
      <w:r>
        <w:rPr>
          <w:b/>
          <w:bCs/>
          <w:szCs w:val="24"/>
        </w:rPr>
        <w:t xml:space="preserve"> що використовуються</w:t>
      </w:r>
    </w:p>
    <w:p w:rsidR="00776DE0" w:rsidRPr="001E766E" w:rsidRDefault="00776DE0" w:rsidP="00776DE0">
      <w:pPr>
        <w:shd w:val="clear" w:color="auto" w:fill="FFFFFF"/>
        <w:ind w:firstLine="567"/>
        <w:jc w:val="both"/>
        <w:rPr>
          <w:b/>
          <w:bCs/>
        </w:rPr>
      </w:pPr>
    </w:p>
    <w:p w:rsidR="00211AEB" w:rsidRPr="004D7AFF" w:rsidRDefault="00211AEB" w:rsidP="00211AEB">
      <w:pPr>
        <w:autoSpaceDE w:val="0"/>
        <w:autoSpaceDN w:val="0"/>
        <w:adjustRightInd w:val="0"/>
        <w:ind w:firstLine="540"/>
        <w:jc w:val="both"/>
        <w:rPr>
          <w:b/>
          <w:bCs/>
          <w:i/>
          <w:szCs w:val="24"/>
        </w:rPr>
      </w:pPr>
      <w:r w:rsidRPr="004D7AFF">
        <w:rPr>
          <w:b/>
          <w:bCs/>
          <w:i/>
          <w:szCs w:val="24"/>
        </w:rPr>
        <w:t>МСФЗ, МСБО та тлумачення (КТМФЗ, ПКТ), які можуть використовуватись</w:t>
      </w:r>
    </w:p>
    <w:p w:rsidR="00211AEB" w:rsidRPr="004035A4" w:rsidRDefault="00211AEB" w:rsidP="00211AEB">
      <w:pPr>
        <w:ind w:firstLine="567"/>
        <w:jc w:val="both"/>
        <w:rPr>
          <w:szCs w:val="24"/>
        </w:rPr>
      </w:pPr>
      <w:r w:rsidRPr="004035A4">
        <w:rPr>
          <w:szCs w:val="24"/>
        </w:rPr>
        <w:t xml:space="preserve">Текст Міжнародних стандартів фінансової звітності, включаючи Міжнародні стандарти бухгалтерського обліку (МСБО) та Тлумачення (КТМФЗ, ПКТ), виданий Радою з Міжнародних стандартів бухгалтерського обліку, якими користувалось Товариство при підготовці фінансової звітності за звітний рік, офіційно </w:t>
      </w:r>
      <w:r w:rsidR="00173FC0" w:rsidRPr="004035A4">
        <w:rPr>
          <w:szCs w:val="24"/>
        </w:rPr>
        <w:t>оприлюднена</w:t>
      </w:r>
      <w:r w:rsidRPr="004035A4">
        <w:rPr>
          <w:szCs w:val="24"/>
        </w:rPr>
        <w:t xml:space="preserve"> на сайті Міністерства фінансів України www.minfin.gov.ua, що забезпечує формування державної фінансової політики. Ці Стандарти ґрунтуються на Міжнародних стандартах фінансової звітності та інших публікаціях Ради з Міжнародних стандартів бухгалтерського обліку (РМСБО). Авторське право на Міжнародні стандарти фінансової звітності та інші публікації РМСБО має Фонд Комітету з Міжнародних стандартів бухгалтерського обліку (ФКМСБО). Затверджений текст Міжнародних стандартів фінансової звітності та інших публікацій ФКМСБО є текст англійською мовою.</w:t>
      </w:r>
    </w:p>
    <w:p w:rsidR="00FB4491" w:rsidRDefault="00FB4491" w:rsidP="00540581">
      <w:pPr>
        <w:pStyle w:val="Standard"/>
        <w:widowControl w:val="0"/>
        <w:ind w:firstLine="567"/>
        <w:contextualSpacing/>
        <w:jc w:val="center"/>
        <w:rPr>
          <w:rFonts w:ascii="Times New Roman" w:eastAsia="Times New Roman" w:hAnsi="Times New Roman" w:cs="Times New Roman"/>
          <w:b/>
          <w:color w:val="00000A"/>
          <w:lang w:eastAsia="zh-CN"/>
        </w:rPr>
      </w:pPr>
    </w:p>
    <w:p w:rsidR="008442A5" w:rsidRPr="00986675" w:rsidRDefault="008442A5" w:rsidP="008442A5">
      <w:pPr>
        <w:autoSpaceDE w:val="0"/>
        <w:autoSpaceDN w:val="0"/>
        <w:adjustRightInd w:val="0"/>
        <w:ind w:firstLine="540"/>
        <w:rPr>
          <w:b/>
          <w:bCs/>
          <w:szCs w:val="24"/>
        </w:rPr>
      </w:pPr>
      <w:r w:rsidRPr="00986675">
        <w:rPr>
          <w:b/>
          <w:bCs/>
          <w:szCs w:val="24"/>
        </w:rPr>
        <w:t>Оновлення Міжнародних стандартів фінансової звітності.</w:t>
      </w:r>
    </w:p>
    <w:p w:rsidR="008442A5" w:rsidRPr="005B398D" w:rsidRDefault="008442A5" w:rsidP="008442A5">
      <w:pPr>
        <w:ind w:firstLine="567"/>
        <w:jc w:val="both"/>
        <w:rPr>
          <w:szCs w:val="24"/>
        </w:rPr>
      </w:pPr>
      <w:r w:rsidRPr="005B398D">
        <w:rPr>
          <w:szCs w:val="24"/>
        </w:rPr>
        <w:t xml:space="preserve">Товариство вперше застосовує  всі нові або переглянуті МСФЗ і інтерпретації та поправки до чинних стандартів, випущені Комітетом з Міжнародних стандартів фінансової звітності та Комітетом з інтерпретацій Міжнародних стандартів фінансової звітності (далі - «КМСФЗ»), які вступили в силу для річних періодів, що розпочинаються з 1 січня 2019 року. </w:t>
      </w:r>
    </w:p>
    <w:p w:rsidR="008442A5" w:rsidRPr="005B398D" w:rsidRDefault="008442A5" w:rsidP="008442A5">
      <w:pPr>
        <w:ind w:firstLine="567"/>
        <w:rPr>
          <w:szCs w:val="24"/>
        </w:rPr>
      </w:pPr>
      <w:r w:rsidRPr="005B398D">
        <w:rPr>
          <w:szCs w:val="24"/>
        </w:rPr>
        <w:t>Нові стандарти, ефективна дата яких - початку звітного періоду, й які раніше товариством не застосовувались.</w:t>
      </w:r>
    </w:p>
    <w:p w:rsidR="008442A5" w:rsidRPr="005B398D" w:rsidRDefault="008442A5" w:rsidP="008442A5">
      <w:pPr>
        <w:ind w:firstLine="567"/>
        <w:rPr>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7"/>
        <w:gridCol w:w="798"/>
      </w:tblGrid>
      <w:tr w:rsidR="008442A5" w:rsidRPr="005B398D" w:rsidTr="00C64983">
        <w:trPr>
          <w:tblHeader/>
        </w:trPr>
        <w:tc>
          <w:tcPr>
            <w:tcW w:w="9267" w:type="dxa"/>
            <w:vAlign w:val="center"/>
          </w:tcPr>
          <w:p w:rsidR="008442A5" w:rsidRPr="005B398D" w:rsidRDefault="008442A5" w:rsidP="00C64983">
            <w:r w:rsidRPr="005B398D">
              <w:t>Стандарти та правки до них</w:t>
            </w:r>
          </w:p>
        </w:tc>
        <w:tc>
          <w:tcPr>
            <w:tcW w:w="798" w:type="dxa"/>
            <w:vAlign w:val="center"/>
          </w:tcPr>
          <w:p w:rsidR="008442A5" w:rsidRPr="005B398D" w:rsidRDefault="008442A5" w:rsidP="00C64983">
            <w:r w:rsidRPr="005B398D">
              <w:t>Ефективна</w:t>
            </w:r>
          </w:p>
          <w:p w:rsidR="008442A5" w:rsidRPr="005B398D" w:rsidRDefault="008442A5" w:rsidP="00C64983">
            <w:r w:rsidRPr="005B398D">
              <w:t>дата</w:t>
            </w:r>
          </w:p>
        </w:tc>
      </w:tr>
      <w:tr w:rsidR="008442A5" w:rsidRPr="005B398D" w:rsidTr="00C64983">
        <w:trPr>
          <w:trHeight w:val="63"/>
        </w:trPr>
        <w:tc>
          <w:tcPr>
            <w:tcW w:w="9267" w:type="dxa"/>
            <w:vAlign w:val="center"/>
          </w:tcPr>
          <w:p w:rsidR="008442A5" w:rsidRPr="00F37A5F" w:rsidRDefault="008442A5" w:rsidP="00C64983">
            <w:pPr>
              <w:rPr>
                <w:sz w:val="22"/>
                <w:szCs w:val="22"/>
              </w:rPr>
            </w:pPr>
            <w:r w:rsidRPr="00F37A5F">
              <w:rPr>
                <w:sz w:val="22"/>
                <w:szCs w:val="22"/>
              </w:rPr>
              <w:t xml:space="preserve">МСФЗ 16 «Оренда» - Для орендарів встановлено єдину модель обліку оренди і немає необхідності визначати класифікацію оренди, всі договори оренди відображаються у звіті про фінансовий стан шляхом визнання активів у формі права користування і зобов'язань з оренди. Подвійна модель обліку оренди орендодавцем, класифікація оренди визначається на основі критеріїв класифікації, аналогічних МСБО 17 «Оренда», модель обліку фінансової оренди на основі підходів до обліку фінансової оренди, аналогічна МСБО 17, вона передбачає визнання чистої інвестиції в оренду, що складається з дебіторської заборгованості з оренди, і залишкового активу, модель обліку операційної оренди на основі підходів до обліку операційної оренди, аналогічно МСБО 17. Необов’язкове звільнення щодо короткострокової оренди - тобто оренди, термін дії якої становить не більше 12 місяців. Портфельний облік договорів оренди дозволений, якщо результати такого обліку не будуть суттєво відрізнятися від тих, які були б отримані в разі застосування нових вимог до кожного договору окремо. Необов'язкове звільнення щодо оренди об'єктів з низькою вартістю - тобто активів, вартість яких, коли вони нові, не перевищує встановлену обліковою політикою (вказано в примітках ), </w:t>
            </w:r>
            <w:r w:rsidRPr="00F37A5F">
              <w:rPr>
                <w:sz w:val="22"/>
                <w:szCs w:val="22"/>
              </w:rPr>
              <w:lastRenderedPageBreak/>
              <w:t>навіть якщо сумарна величина таких договорів оренди є істотною.</w:t>
            </w:r>
          </w:p>
        </w:tc>
        <w:tc>
          <w:tcPr>
            <w:tcW w:w="798" w:type="dxa"/>
            <w:vAlign w:val="center"/>
          </w:tcPr>
          <w:p w:rsidR="008442A5" w:rsidRPr="00F37A5F" w:rsidRDefault="008442A5" w:rsidP="00C64983">
            <w:pPr>
              <w:rPr>
                <w:sz w:val="22"/>
                <w:szCs w:val="22"/>
              </w:rPr>
            </w:pPr>
            <w:r w:rsidRPr="00F37A5F">
              <w:rPr>
                <w:sz w:val="22"/>
                <w:szCs w:val="22"/>
              </w:rPr>
              <w:lastRenderedPageBreak/>
              <w:t>01.01.2019</w:t>
            </w:r>
          </w:p>
        </w:tc>
      </w:tr>
      <w:tr w:rsidR="008442A5" w:rsidRPr="005B398D" w:rsidTr="00C64983">
        <w:trPr>
          <w:trHeight w:val="63"/>
        </w:trPr>
        <w:tc>
          <w:tcPr>
            <w:tcW w:w="9267" w:type="dxa"/>
            <w:vAlign w:val="center"/>
          </w:tcPr>
          <w:p w:rsidR="008442A5" w:rsidRPr="00F37A5F" w:rsidRDefault="008442A5" w:rsidP="00C64983">
            <w:pPr>
              <w:rPr>
                <w:sz w:val="22"/>
                <w:szCs w:val="22"/>
              </w:rPr>
            </w:pPr>
            <w:r w:rsidRPr="00F37A5F">
              <w:rPr>
                <w:sz w:val="22"/>
                <w:szCs w:val="22"/>
              </w:rPr>
              <w:lastRenderedPageBreak/>
              <w:t>Поправки, пов'язані з вступом в силу МСФЗ  16 «Оренда» (МСФЗ 3 «Об’єднання бізнесу», МСБО 16 «Основні засоби», МСБО 1 «Подання фінансової звітності», МСФЗ 1 «Перше застосування МСФЗ», МСФЗ 7 «Фінансові інструменти: розкриття інформації», МСФЗ 9 «Фінансові інструменти», МСФЗ 13 «Оцінка справедливої вартості», МСФЗ 15 «Виручка по контрактах з клієнтами», МСБО 2 «Запаси», МСБО 7 «Звіт про рух грошових коштів», МСБО 21 «Вплив змін валютних курсів», МСБО 23 «Витрати на позики», МСБО 37 «Забезпечення, умовні зобов’язання та умовні активи», МСБО 38 «Нематеріальні активи», МСБО 40 «Інвестиційна нерухомість», МСБО 41 «Сільське господарство»)</w:t>
            </w:r>
          </w:p>
        </w:tc>
        <w:tc>
          <w:tcPr>
            <w:tcW w:w="798" w:type="dxa"/>
            <w:vAlign w:val="center"/>
          </w:tcPr>
          <w:p w:rsidR="008442A5" w:rsidRPr="00F37A5F" w:rsidRDefault="008442A5" w:rsidP="00C64983">
            <w:pPr>
              <w:rPr>
                <w:sz w:val="22"/>
                <w:szCs w:val="22"/>
              </w:rPr>
            </w:pPr>
            <w:r w:rsidRPr="00F37A5F">
              <w:rPr>
                <w:sz w:val="22"/>
                <w:szCs w:val="22"/>
              </w:rPr>
              <w:t>01.01.2019</w:t>
            </w:r>
          </w:p>
        </w:tc>
      </w:tr>
      <w:tr w:rsidR="008442A5" w:rsidRPr="005B398D" w:rsidTr="00C64983">
        <w:tc>
          <w:tcPr>
            <w:tcW w:w="9267" w:type="dxa"/>
            <w:vAlign w:val="center"/>
          </w:tcPr>
          <w:p w:rsidR="008442A5" w:rsidRPr="00F37A5F" w:rsidRDefault="008442A5" w:rsidP="00C64983">
            <w:pPr>
              <w:rPr>
                <w:sz w:val="22"/>
                <w:szCs w:val="22"/>
              </w:rPr>
            </w:pPr>
            <w:r w:rsidRPr="00F37A5F">
              <w:rPr>
                <w:sz w:val="22"/>
                <w:szCs w:val="22"/>
              </w:rPr>
              <w:t>КТМФЗ (IFRIC) 23 «Невизначеність щодо правил обчислення податку на прибуток» - Роз'яснення IFRIC 23 вимагає, щоб використовуваний компанією підхід ґрунтувався на тому, що краще прогнозує результат вирішення невизначеності. Зокрема, компанія повинна враховувати те, як по її очікуванням податкові органи будуть проводити перевірку податкового обліку і трактувань. Роз'яснення IFRIC 23 вимагає, щоб компанія виходила з того, що податкові органи перевірять всі суми, які вони має право перевірити, і ознайомляться з усією пов'язаною інформацією при проведенні своєї перевірки. Компанії повинні враховувати ймовірність того, що податкові органи будуть приймати або відхиляти невизначені податкові трактування, при цьому обліковий процес буде визначатися цією оцінкою податкових органів. Роз'яснення IFRIC 23 вимагає від компанії необхідної переоцінки (зміни) судження або оцінка, в разі зміни фактів і обставин, на яких ґрунтувалося це судження або оцінка, а також в результаті отримання нової інформації, яка впливає на судження або оцінку. Будь-які такі зміни повинні враховуватися в подальшому (перспективно) відповідно до МСБО 8 «Облікова політика, зміни в облікових оцінках та помилки». У таких випадках компанії повинні застосовувати стандарт МСБО 10 «Події після звітного періоду», щоб визначити, чи є зміна, що відбулася після звітного періоду, коригуючими або нерегульованими подією.</w:t>
            </w:r>
          </w:p>
        </w:tc>
        <w:tc>
          <w:tcPr>
            <w:tcW w:w="798" w:type="dxa"/>
            <w:vAlign w:val="center"/>
          </w:tcPr>
          <w:p w:rsidR="008442A5" w:rsidRPr="00F37A5F" w:rsidRDefault="008442A5" w:rsidP="00C64983">
            <w:pPr>
              <w:rPr>
                <w:sz w:val="22"/>
                <w:szCs w:val="22"/>
              </w:rPr>
            </w:pPr>
            <w:r w:rsidRPr="00F37A5F">
              <w:rPr>
                <w:sz w:val="22"/>
                <w:szCs w:val="22"/>
              </w:rPr>
              <w:t>01.01.2019</w:t>
            </w:r>
          </w:p>
        </w:tc>
      </w:tr>
      <w:tr w:rsidR="008442A5" w:rsidRPr="005B398D" w:rsidTr="00C64983">
        <w:tc>
          <w:tcPr>
            <w:tcW w:w="9267" w:type="dxa"/>
            <w:vAlign w:val="center"/>
          </w:tcPr>
          <w:p w:rsidR="008442A5" w:rsidRPr="00F37A5F" w:rsidRDefault="008442A5" w:rsidP="00C64983">
            <w:pPr>
              <w:rPr>
                <w:sz w:val="22"/>
                <w:szCs w:val="22"/>
              </w:rPr>
            </w:pPr>
            <w:r w:rsidRPr="00F37A5F">
              <w:rPr>
                <w:sz w:val="22"/>
                <w:szCs w:val="22"/>
              </w:rPr>
              <w:t>Поправка до МСБО 28 «Інвестиції в асоційовані підприємства і спільні підприємства» - 14A. Організація застосовує МСФЗ 9 також до інших фінансових інструментів в асоційованому або спільному підприємстві, до яких не застосовується метод участі в капіталі. До них відносяться довгострокові вкладення, які, по суті, складають частину чистих інвестицій організації в асоційовану компанію або спільне підприємство.</w:t>
            </w:r>
          </w:p>
        </w:tc>
        <w:tc>
          <w:tcPr>
            <w:tcW w:w="798" w:type="dxa"/>
            <w:vAlign w:val="center"/>
          </w:tcPr>
          <w:p w:rsidR="008442A5" w:rsidRPr="00F37A5F" w:rsidRDefault="008442A5" w:rsidP="00C64983">
            <w:pPr>
              <w:rPr>
                <w:sz w:val="22"/>
                <w:szCs w:val="22"/>
              </w:rPr>
            </w:pPr>
            <w:r w:rsidRPr="00F37A5F">
              <w:rPr>
                <w:sz w:val="22"/>
                <w:szCs w:val="22"/>
              </w:rPr>
              <w:t>01.01.2019</w:t>
            </w:r>
          </w:p>
        </w:tc>
      </w:tr>
      <w:tr w:rsidR="008442A5" w:rsidRPr="005B398D" w:rsidTr="00C64983">
        <w:tc>
          <w:tcPr>
            <w:tcW w:w="9267" w:type="dxa"/>
            <w:vAlign w:val="center"/>
          </w:tcPr>
          <w:p w:rsidR="008442A5" w:rsidRPr="00F37A5F" w:rsidRDefault="008442A5" w:rsidP="00C64983">
            <w:pPr>
              <w:rPr>
                <w:sz w:val="22"/>
                <w:szCs w:val="22"/>
              </w:rPr>
            </w:pPr>
            <w:r w:rsidRPr="00F37A5F">
              <w:rPr>
                <w:sz w:val="22"/>
                <w:szCs w:val="22"/>
              </w:rPr>
              <w:t>Поправка до МСФЗ 9 «Фінансові інструменти» - Поправка дозволяє застосовувати модель амортизованої вартості до фінансових інструментів, які мають опцію дострокового погашення, незалежно від того, що при достроковому погашенні може виникнути компенсація (як позитивна, так і негативна)</w:t>
            </w:r>
          </w:p>
        </w:tc>
        <w:tc>
          <w:tcPr>
            <w:tcW w:w="798" w:type="dxa"/>
            <w:vAlign w:val="center"/>
          </w:tcPr>
          <w:p w:rsidR="008442A5" w:rsidRPr="00F37A5F" w:rsidRDefault="008442A5" w:rsidP="00C64983">
            <w:pPr>
              <w:rPr>
                <w:sz w:val="22"/>
                <w:szCs w:val="22"/>
              </w:rPr>
            </w:pPr>
            <w:r w:rsidRPr="00F37A5F">
              <w:rPr>
                <w:sz w:val="22"/>
                <w:szCs w:val="22"/>
              </w:rPr>
              <w:t>01.01.2019</w:t>
            </w:r>
          </w:p>
        </w:tc>
      </w:tr>
      <w:tr w:rsidR="008442A5" w:rsidRPr="005B398D" w:rsidTr="00C64983">
        <w:trPr>
          <w:trHeight w:val="60"/>
        </w:trPr>
        <w:tc>
          <w:tcPr>
            <w:tcW w:w="9267" w:type="dxa"/>
            <w:vAlign w:val="center"/>
          </w:tcPr>
          <w:p w:rsidR="008442A5" w:rsidRPr="00F37A5F" w:rsidRDefault="008442A5" w:rsidP="00C64983">
            <w:pPr>
              <w:rPr>
                <w:sz w:val="22"/>
                <w:szCs w:val="22"/>
              </w:rPr>
            </w:pPr>
            <w:r w:rsidRPr="00F37A5F">
              <w:rPr>
                <w:sz w:val="22"/>
                <w:szCs w:val="22"/>
              </w:rPr>
              <w:t>Поправка до МСБО 19 «Виплати працівникам» - Поправки до МСБО 19 «Виплати працівникам» стосуються порядку обліку компаніями пенсійних програм з визначеною виплатою. Якщо до програми вносяться зміни (програма скорочується або по ній відбувається розрахунок), МСБО 19 вимагає від компанії переоцінки її чистих активів або зобов'язань за встановленими виплатами. Поправки вимагають від компанії використовувати нові припущення, використані при проведенні переоцінки, щоб визначити вартість послуг поточного періоду і чистий відсоток на залишок звітного періоду після зміни програми з визначеною виплатою.</w:t>
            </w:r>
          </w:p>
        </w:tc>
        <w:tc>
          <w:tcPr>
            <w:tcW w:w="798" w:type="dxa"/>
            <w:vAlign w:val="center"/>
          </w:tcPr>
          <w:p w:rsidR="008442A5" w:rsidRPr="00F37A5F" w:rsidRDefault="008442A5" w:rsidP="00C64983">
            <w:pPr>
              <w:rPr>
                <w:sz w:val="22"/>
                <w:szCs w:val="22"/>
              </w:rPr>
            </w:pPr>
            <w:r w:rsidRPr="00F37A5F">
              <w:rPr>
                <w:sz w:val="22"/>
                <w:szCs w:val="22"/>
              </w:rPr>
              <w:t>01.01.2019</w:t>
            </w:r>
          </w:p>
        </w:tc>
      </w:tr>
      <w:tr w:rsidR="008442A5" w:rsidRPr="005B398D" w:rsidTr="00C64983">
        <w:tc>
          <w:tcPr>
            <w:tcW w:w="9267" w:type="dxa"/>
            <w:vAlign w:val="center"/>
          </w:tcPr>
          <w:p w:rsidR="008442A5" w:rsidRPr="00F37A5F" w:rsidRDefault="008442A5" w:rsidP="00C64983">
            <w:pPr>
              <w:rPr>
                <w:sz w:val="22"/>
                <w:szCs w:val="22"/>
              </w:rPr>
            </w:pPr>
            <w:r w:rsidRPr="00F37A5F">
              <w:rPr>
                <w:sz w:val="22"/>
                <w:szCs w:val="22"/>
              </w:rPr>
              <w:t>Поправка до МСФЗ 3 «Об’єднання бізнесу» - 42A. Якщо сторона угоди про спільне підприємство (як цей термін визначено в МСФЗ 11 "Спільна діяльність") отримує контроль над бізнесом, який є спільною операцією (як цей термін визначено в МСФЗ 11), і при цьому мала права на активи і несла відповідальність за зобов'язаннями, пов'язаними з цією спільною операцією, безпосередньо до дати придбання, то дана угода є об'єднанням бізнесів, які здійснюються поетапно. Отже, набувач повинен застосовувати вимоги щодо об'єднання бізнесів, здійснюваного поетапно, включаючи переоцінку часток участі в спільних операціях, що були раніше, у спосіб, передбачений в пункті 42. При цьому набувач повинен переоцінити всю наявну раніше частку участі в спільних операціях.</w:t>
            </w:r>
          </w:p>
        </w:tc>
        <w:tc>
          <w:tcPr>
            <w:tcW w:w="798" w:type="dxa"/>
            <w:vAlign w:val="center"/>
          </w:tcPr>
          <w:p w:rsidR="008442A5" w:rsidRPr="00F37A5F" w:rsidRDefault="008442A5" w:rsidP="00C64983">
            <w:pPr>
              <w:rPr>
                <w:sz w:val="22"/>
                <w:szCs w:val="22"/>
              </w:rPr>
            </w:pPr>
            <w:r w:rsidRPr="00F37A5F">
              <w:rPr>
                <w:sz w:val="22"/>
                <w:szCs w:val="22"/>
              </w:rPr>
              <w:t>01.01.2019</w:t>
            </w:r>
          </w:p>
        </w:tc>
      </w:tr>
      <w:tr w:rsidR="008442A5" w:rsidRPr="005B398D" w:rsidTr="00C64983">
        <w:tc>
          <w:tcPr>
            <w:tcW w:w="9267" w:type="dxa"/>
            <w:vAlign w:val="center"/>
          </w:tcPr>
          <w:p w:rsidR="008442A5" w:rsidRPr="00F37A5F" w:rsidRDefault="008442A5" w:rsidP="00C64983">
            <w:pPr>
              <w:rPr>
                <w:sz w:val="22"/>
                <w:szCs w:val="22"/>
              </w:rPr>
            </w:pPr>
            <w:r w:rsidRPr="00F37A5F">
              <w:rPr>
                <w:sz w:val="22"/>
                <w:szCs w:val="22"/>
              </w:rPr>
              <w:t>Поправка до МСФЗ 11 «Спільна діяльність» - B33CA Сторона, яка є учасником спільних операцій, але не має спільного контролю, може отримати спільний контроль над спільними операціями, діяльність в рамках яких є бізнес, як цей термін визначено в МСФЗ 3. У таких випадках частки участі в даної спільної операції, що були раніше, не переоцінюються.</w:t>
            </w:r>
          </w:p>
        </w:tc>
        <w:tc>
          <w:tcPr>
            <w:tcW w:w="798" w:type="dxa"/>
            <w:vAlign w:val="center"/>
          </w:tcPr>
          <w:p w:rsidR="008442A5" w:rsidRPr="00F37A5F" w:rsidRDefault="008442A5" w:rsidP="00C64983">
            <w:pPr>
              <w:rPr>
                <w:sz w:val="22"/>
                <w:szCs w:val="22"/>
              </w:rPr>
            </w:pPr>
            <w:r w:rsidRPr="00F37A5F">
              <w:rPr>
                <w:sz w:val="22"/>
                <w:szCs w:val="22"/>
              </w:rPr>
              <w:t>01.01.2019</w:t>
            </w:r>
          </w:p>
        </w:tc>
      </w:tr>
      <w:tr w:rsidR="008442A5" w:rsidRPr="005B398D" w:rsidTr="00C64983">
        <w:tc>
          <w:tcPr>
            <w:tcW w:w="9267" w:type="dxa"/>
            <w:vAlign w:val="center"/>
          </w:tcPr>
          <w:p w:rsidR="008442A5" w:rsidRPr="00F37A5F" w:rsidRDefault="008442A5" w:rsidP="00C64983">
            <w:pPr>
              <w:rPr>
                <w:sz w:val="22"/>
                <w:szCs w:val="22"/>
              </w:rPr>
            </w:pPr>
            <w:r w:rsidRPr="00F37A5F">
              <w:rPr>
                <w:sz w:val="22"/>
                <w:szCs w:val="22"/>
              </w:rPr>
              <w:t xml:space="preserve">Поправка до МСБО 12 «Податки на прибуток» - 57А. Організація повинна визнати наслідки з </w:t>
            </w:r>
            <w:r w:rsidRPr="00F37A5F">
              <w:rPr>
                <w:sz w:val="22"/>
                <w:szCs w:val="22"/>
              </w:rPr>
              <w:lastRenderedPageBreak/>
              <w:t>податку на прибуток, пов'язані з дивідендами, як вони визначені в МСФЗ 9, коли вона визнає зобов'язання сплатити дивіденди. Наслідки з податку на прибуток щодо дивідендів пов'язані більш безпосередньо з минулими операціями чи подіями, які генерували розподіл прибутку, ніж з розподілами на користь власників. Тому організації слід визнавати наслідки з податку на прибуток щодо дивідендів у складі прибутків або збитків, іншого сукупного доходу або в капіталі відповідно до того, де організація спочатку визнала такі минулі операції або події.</w:t>
            </w:r>
          </w:p>
        </w:tc>
        <w:tc>
          <w:tcPr>
            <w:tcW w:w="798" w:type="dxa"/>
            <w:vAlign w:val="center"/>
          </w:tcPr>
          <w:p w:rsidR="008442A5" w:rsidRPr="00F37A5F" w:rsidRDefault="008442A5" w:rsidP="00C64983">
            <w:pPr>
              <w:rPr>
                <w:sz w:val="22"/>
                <w:szCs w:val="22"/>
              </w:rPr>
            </w:pPr>
            <w:r w:rsidRPr="00F37A5F">
              <w:rPr>
                <w:sz w:val="22"/>
                <w:szCs w:val="22"/>
              </w:rPr>
              <w:lastRenderedPageBreak/>
              <w:t>01.01.</w:t>
            </w:r>
            <w:r w:rsidRPr="00F37A5F">
              <w:rPr>
                <w:sz w:val="22"/>
                <w:szCs w:val="22"/>
              </w:rPr>
              <w:lastRenderedPageBreak/>
              <w:t>2019</w:t>
            </w:r>
          </w:p>
        </w:tc>
      </w:tr>
      <w:tr w:rsidR="008442A5" w:rsidRPr="005B398D" w:rsidTr="00C64983">
        <w:tc>
          <w:tcPr>
            <w:tcW w:w="9267" w:type="dxa"/>
            <w:vAlign w:val="center"/>
          </w:tcPr>
          <w:p w:rsidR="008442A5" w:rsidRPr="00F37A5F" w:rsidRDefault="008442A5" w:rsidP="00C64983">
            <w:pPr>
              <w:rPr>
                <w:sz w:val="22"/>
                <w:szCs w:val="22"/>
              </w:rPr>
            </w:pPr>
            <w:r w:rsidRPr="00F37A5F">
              <w:rPr>
                <w:sz w:val="22"/>
                <w:szCs w:val="22"/>
              </w:rPr>
              <w:lastRenderedPageBreak/>
              <w:t>МСБО 23 «Витрати на позики» - 14. Тією мірою, в якій організація запозичує кошти на спільні цілі і використовує їх для отримання кваліфікованого активу, організація повинна визначити суму витрат за запозиченнями, дозволену для капіталізації, шляхом множення ставки капіталізації на суму витрат на даний актив. Ставка капіталізації визначається як середньозважене значення витрат за запозиченнями стосовно всіх позик організації, що залишаються непогашеними протягом періоду. Однак організація повинна виключити з даного розрахунку суму витрат за запозиченнями стосовно позик, отриманих спеціально для придбання кваліфікованого активу, до завершення практично всіх робіт, необхідних для підготовки цього активу до використання за призначенням або продажу. Сума витрат за запозиченнями, яку організація капіталізує протягом періоду, не повинна перевищувати суму витрат за запозиченнями, понесених протягом цього періоду.</w:t>
            </w:r>
          </w:p>
        </w:tc>
        <w:tc>
          <w:tcPr>
            <w:tcW w:w="798" w:type="dxa"/>
            <w:vAlign w:val="center"/>
          </w:tcPr>
          <w:p w:rsidR="008442A5" w:rsidRPr="00F37A5F" w:rsidRDefault="008442A5" w:rsidP="00C64983">
            <w:pPr>
              <w:rPr>
                <w:sz w:val="22"/>
                <w:szCs w:val="22"/>
              </w:rPr>
            </w:pPr>
            <w:r w:rsidRPr="00F37A5F">
              <w:rPr>
                <w:sz w:val="22"/>
                <w:szCs w:val="22"/>
              </w:rPr>
              <w:t>01.01.2019</w:t>
            </w:r>
          </w:p>
        </w:tc>
      </w:tr>
    </w:tbl>
    <w:p w:rsidR="00624B18" w:rsidRPr="00BD665E" w:rsidRDefault="008442A5" w:rsidP="00624B18">
      <w:pPr>
        <w:ind w:firstLine="567"/>
        <w:jc w:val="both"/>
        <w:rPr>
          <w:szCs w:val="24"/>
        </w:rPr>
      </w:pPr>
      <w:r w:rsidRPr="005B398D">
        <w:rPr>
          <w:szCs w:val="24"/>
        </w:rPr>
        <w:t xml:space="preserve">Перелічені вище стандарти та правки до них не вплинули на фінансовий стан, фінансові результати та фінансову звітність, їх ефект відсутній,  </w:t>
      </w:r>
      <w:r w:rsidR="00624B18">
        <w:rPr>
          <w:szCs w:val="24"/>
        </w:rPr>
        <w:t xml:space="preserve">в т.ч. й </w:t>
      </w:r>
      <w:r w:rsidRPr="005B398D">
        <w:rPr>
          <w:szCs w:val="24"/>
        </w:rPr>
        <w:t xml:space="preserve"> МСФЗ  16</w:t>
      </w:r>
      <w:r>
        <w:rPr>
          <w:szCs w:val="24"/>
        </w:rPr>
        <w:t>.</w:t>
      </w:r>
      <w:r w:rsidR="00624B18">
        <w:rPr>
          <w:szCs w:val="24"/>
        </w:rPr>
        <w:t xml:space="preserve"> </w:t>
      </w:r>
      <w:r w:rsidRPr="00BD665E">
        <w:rPr>
          <w:szCs w:val="24"/>
        </w:rPr>
        <w:t xml:space="preserve">Компанія </w:t>
      </w:r>
      <w:r w:rsidR="00624B18">
        <w:rPr>
          <w:szCs w:val="24"/>
        </w:rPr>
        <w:t xml:space="preserve"> не </w:t>
      </w:r>
      <w:r w:rsidRPr="00BD665E">
        <w:rPr>
          <w:szCs w:val="24"/>
        </w:rPr>
        <w:t xml:space="preserve">є орендарем </w:t>
      </w:r>
      <w:r>
        <w:rPr>
          <w:szCs w:val="24"/>
        </w:rPr>
        <w:t>адміністративних</w:t>
      </w:r>
      <w:r w:rsidRPr="00BD665E">
        <w:rPr>
          <w:szCs w:val="24"/>
        </w:rPr>
        <w:t xml:space="preserve"> приміщень</w:t>
      </w:r>
      <w:r w:rsidR="00624B18">
        <w:rPr>
          <w:szCs w:val="24"/>
        </w:rPr>
        <w:t xml:space="preserve">. </w:t>
      </w:r>
      <w:r w:rsidRPr="00BD665E">
        <w:rPr>
          <w:szCs w:val="24"/>
        </w:rPr>
        <w:t xml:space="preserve"> </w:t>
      </w:r>
    </w:p>
    <w:p w:rsidR="008442A5" w:rsidRPr="005B398D" w:rsidRDefault="008442A5" w:rsidP="008442A5">
      <w:pPr>
        <w:ind w:firstLine="567"/>
        <w:jc w:val="both"/>
        <w:rPr>
          <w:szCs w:val="24"/>
        </w:rPr>
      </w:pPr>
    </w:p>
    <w:p w:rsidR="008442A5" w:rsidRPr="005B398D" w:rsidRDefault="008442A5" w:rsidP="008442A5">
      <w:pPr>
        <w:ind w:firstLine="567"/>
        <w:jc w:val="both"/>
        <w:rPr>
          <w:szCs w:val="24"/>
        </w:rPr>
      </w:pPr>
      <w:r w:rsidRPr="005B398D">
        <w:rPr>
          <w:szCs w:val="24"/>
        </w:rPr>
        <w:t>Нові МСФЗ, прийняті станом на 31.12.2019, ефективна дата яких не настала:</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237"/>
        <w:gridCol w:w="1134"/>
        <w:gridCol w:w="993"/>
      </w:tblGrid>
      <w:tr w:rsidR="008442A5" w:rsidRPr="005B398D" w:rsidTr="00C64983">
        <w:tc>
          <w:tcPr>
            <w:tcW w:w="1951" w:type="dxa"/>
            <w:vAlign w:val="center"/>
          </w:tcPr>
          <w:p w:rsidR="008442A5" w:rsidRPr="005B398D" w:rsidRDefault="008442A5" w:rsidP="00C64983">
            <w:pPr>
              <w:jc w:val="center"/>
            </w:pPr>
            <w:r w:rsidRPr="005B398D">
              <w:t>МСФЗ та правки до них</w:t>
            </w:r>
          </w:p>
        </w:tc>
        <w:tc>
          <w:tcPr>
            <w:tcW w:w="6237" w:type="dxa"/>
            <w:vAlign w:val="center"/>
          </w:tcPr>
          <w:p w:rsidR="008442A5" w:rsidRPr="005B398D" w:rsidRDefault="008442A5" w:rsidP="00C64983">
            <w:pPr>
              <w:jc w:val="center"/>
            </w:pPr>
            <w:r w:rsidRPr="005B398D">
              <w:t>Основні вимоги</w:t>
            </w:r>
          </w:p>
        </w:tc>
        <w:tc>
          <w:tcPr>
            <w:tcW w:w="1134" w:type="dxa"/>
            <w:vAlign w:val="center"/>
          </w:tcPr>
          <w:p w:rsidR="008442A5" w:rsidRPr="005B398D" w:rsidRDefault="008442A5" w:rsidP="00C64983">
            <w:pPr>
              <w:jc w:val="center"/>
            </w:pPr>
            <w:r w:rsidRPr="005B398D">
              <w:t>Ефективна</w:t>
            </w:r>
          </w:p>
          <w:p w:rsidR="008442A5" w:rsidRPr="005B398D" w:rsidRDefault="008442A5" w:rsidP="00C64983">
            <w:pPr>
              <w:jc w:val="center"/>
            </w:pPr>
            <w:r w:rsidRPr="005B398D">
              <w:t>дата</w:t>
            </w:r>
          </w:p>
        </w:tc>
        <w:tc>
          <w:tcPr>
            <w:tcW w:w="993" w:type="dxa"/>
            <w:vAlign w:val="center"/>
          </w:tcPr>
          <w:p w:rsidR="008442A5" w:rsidRPr="005B398D" w:rsidRDefault="008442A5" w:rsidP="00C64983">
            <w:pPr>
              <w:jc w:val="center"/>
            </w:pPr>
            <w:r w:rsidRPr="005B398D">
              <w:t>Дострокове застосування</w:t>
            </w:r>
          </w:p>
        </w:tc>
      </w:tr>
      <w:tr w:rsidR="008442A5" w:rsidRPr="005B398D" w:rsidTr="00C64983">
        <w:tc>
          <w:tcPr>
            <w:tcW w:w="1951" w:type="dxa"/>
            <w:vAlign w:val="center"/>
          </w:tcPr>
          <w:p w:rsidR="008442A5" w:rsidRPr="00F37A5F" w:rsidRDefault="008442A5" w:rsidP="00C64983">
            <w:pPr>
              <w:jc w:val="center"/>
              <w:rPr>
                <w:sz w:val="22"/>
                <w:szCs w:val="22"/>
              </w:rPr>
            </w:pPr>
            <w:r w:rsidRPr="00F37A5F">
              <w:rPr>
                <w:sz w:val="22"/>
                <w:szCs w:val="22"/>
              </w:rPr>
              <w:t>Концептуальна основа фінансової звітності</w:t>
            </w:r>
          </w:p>
        </w:tc>
        <w:tc>
          <w:tcPr>
            <w:tcW w:w="6237" w:type="dxa"/>
            <w:vAlign w:val="center"/>
          </w:tcPr>
          <w:p w:rsidR="008442A5" w:rsidRPr="00F37A5F" w:rsidRDefault="008442A5" w:rsidP="00C64983">
            <w:pPr>
              <w:rPr>
                <w:sz w:val="22"/>
                <w:szCs w:val="22"/>
              </w:rPr>
            </w:pPr>
            <w:r w:rsidRPr="00F37A5F">
              <w:rPr>
                <w:sz w:val="22"/>
                <w:szCs w:val="22"/>
              </w:rPr>
              <w:t xml:space="preserve">У новій редакції оновлено структуру документа, визначення активів і зобов'язань, а також додано нові положення з оцінки та припинення визнання активів і зобов'язань, подання і розкриття даних у фінансовій звітності за МСФЗ. Згідно нової редакції інформація, представлена у фінансовій звітності, також повинна допомагати користувачам оцінити ефективність керівництва компанії в управлінні економічними ресурсами. Принцип обачності трактується через підтримку нейтральність представлених даних. Обачність визначається як прояв обережності при винесенні суджень в умовах невизначеності. Правдиве уявлення даних трактується як подання суті операцій, а не тільки їх юридичної форми. Нова  редакція КОФЗ передбачає дві форми звітності: звіт про фінансовий стан і звіт про фінансові результати. Інші форми об'єднані під назвою «інші форми і розкриття», визначається, що дані фінансової звітності представляються за певний період і містять порівняльну інформацію, а також за певних обставин - прогнозні дані. </w:t>
            </w:r>
          </w:p>
          <w:p w:rsidR="008442A5" w:rsidRPr="00F37A5F" w:rsidRDefault="008442A5" w:rsidP="00C64983">
            <w:pPr>
              <w:rPr>
                <w:sz w:val="22"/>
                <w:szCs w:val="22"/>
              </w:rPr>
            </w:pPr>
            <w:r w:rsidRPr="00F37A5F">
              <w:rPr>
                <w:sz w:val="22"/>
                <w:szCs w:val="22"/>
              </w:rPr>
              <w:t xml:space="preserve">У новій редакції КОФЗ вводиться поняття «звітуюче підприємство», під яким мається на увазі сторона економічної діяльності, яка має чітко визначені межі та поняття зведеної звітності. </w:t>
            </w:r>
          </w:p>
          <w:p w:rsidR="008442A5" w:rsidRPr="00F37A5F" w:rsidRDefault="008442A5" w:rsidP="00C64983">
            <w:pPr>
              <w:rPr>
                <w:sz w:val="22"/>
                <w:szCs w:val="22"/>
              </w:rPr>
            </w:pPr>
            <w:r w:rsidRPr="00F37A5F">
              <w:rPr>
                <w:sz w:val="22"/>
                <w:szCs w:val="22"/>
              </w:rPr>
              <w:t xml:space="preserve">Вираз «економічний ресурс» замість терміну «ресурс» підкреслює, що Рада МСФЗ більше не  розглядає активи лише як фізичні об'єкти, а, скоріше, як набір прав. Визначення активів і зобов'язань не відносяться до «очікуваних» надходжень або відтоків. Замість цього визначення економічного ресурсу відноситься до потенціалу активу / зобов'язання виробляти / передавати економічні вигоди. </w:t>
            </w:r>
          </w:p>
          <w:p w:rsidR="008442A5" w:rsidRPr="00F37A5F" w:rsidRDefault="008442A5" w:rsidP="00C64983">
            <w:pPr>
              <w:rPr>
                <w:sz w:val="22"/>
                <w:szCs w:val="22"/>
              </w:rPr>
            </w:pPr>
            <w:r w:rsidRPr="00F37A5F">
              <w:rPr>
                <w:sz w:val="22"/>
                <w:szCs w:val="22"/>
              </w:rPr>
              <w:t xml:space="preserve">Нова глава КОФЗ присвячена опису різних методів оцінки </w:t>
            </w:r>
            <w:r w:rsidRPr="00F37A5F">
              <w:rPr>
                <w:sz w:val="22"/>
                <w:szCs w:val="22"/>
              </w:rPr>
              <w:lastRenderedPageBreak/>
              <w:t>(історична і поточна вартість (справедлива вартість, вартість використання)), інформації, яку вони надають.</w:t>
            </w:r>
          </w:p>
        </w:tc>
        <w:tc>
          <w:tcPr>
            <w:tcW w:w="1134" w:type="dxa"/>
            <w:vAlign w:val="center"/>
          </w:tcPr>
          <w:p w:rsidR="008442A5" w:rsidRPr="00F37A5F" w:rsidRDefault="008442A5" w:rsidP="00C64983">
            <w:pPr>
              <w:jc w:val="center"/>
              <w:rPr>
                <w:sz w:val="22"/>
                <w:szCs w:val="22"/>
              </w:rPr>
            </w:pPr>
            <w:r w:rsidRPr="00F37A5F">
              <w:rPr>
                <w:sz w:val="22"/>
                <w:szCs w:val="22"/>
              </w:rPr>
              <w:lastRenderedPageBreak/>
              <w:t>01.01.2020</w:t>
            </w:r>
          </w:p>
        </w:tc>
        <w:tc>
          <w:tcPr>
            <w:tcW w:w="993" w:type="dxa"/>
            <w:vAlign w:val="center"/>
          </w:tcPr>
          <w:p w:rsidR="008442A5" w:rsidRPr="00F37A5F" w:rsidRDefault="008442A5" w:rsidP="00C64983">
            <w:pPr>
              <w:jc w:val="center"/>
              <w:rPr>
                <w:sz w:val="22"/>
                <w:szCs w:val="22"/>
              </w:rPr>
            </w:pPr>
            <w:r w:rsidRPr="00F37A5F">
              <w:rPr>
                <w:sz w:val="22"/>
                <w:szCs w:val="22"/>
              </w:rPr>
              <w:t>Дозволяється</w:t>
            </w:r>
          </w:p>
        </w:tc>
      </w:tr>
      <w:tr w:rsidR="008442A5" w:rsidRPr="005B398D" w:rsidTr="00C64983">
        <w:tc>
          <w:tcPr>
            <w:tcW w:w="1951" w:type="dxa"/>
            <w:vAlign w:val="center"/>
          </w:tcPr>
          <w:p w:rsidR="008442A5" w:rsidRPr="00F37A5F" w:rsidRDefault="008442A5" w:rsidP="00C64983">
            <w:pPr>
              <w:jc w:val="center"/>
              <w:rPr>
                <w:sz w:val="22"/>
                <w:szCs w:val="22"/>
              </w:rPr>
            </w:pPr>
            <w:r w:rsidRPr="00F37A5F">
              <w:rPr>
                <w:sz w:val="22"/>
                <w:szCs w:val="22"/>
              </w:rPr>
              <w:lastRenderedPageBreak/>
              <w:t>МСФЗ 3 «Об’єднання бізнесу»</w:t>
            </w:r>
          </w:p>
        </w:tc>
        <w:tc>
          <w:tcPr>
            <w:tcW w:w="6237" w:type="dxa"/>
            <w:vAlign w:val="center"/>
          </w:tcPr>
          <w:p w:rsidR="008442A5" w:rsidRPr="00F37A5F" w:rsidRDefault="008442A5" w:rsidP="00C64983">
            <w:pPr>
              <w:rPr>
                <w:sz w:val="22"/>
                <w:szCs w:val="22"/>
              </w:rPr>
            </w:pPr>
            <w:r w:rsidRPr="00F37A5F">
              <w:rPr>
                <w:sz w:val="22"/>
                <w:szCs w:val="22"/>
              </w:rPr>
              <w:t xml:space="preserve">Зміни запроваджують переглянуте визначення бізнесу. Бізнес складається із внесків і суттєвих процесів, які у сукупності формують здатність створювати віддачу. </w:t>
            </w:r>
          </w:p>
          <w:p w:rsidR="008442A5" w:rsidRPr="00F37A5F" w:rsidRDefault="008442A5" w:rsidP="00C64983">
            <w:pPr>
              <w:rPr>
                <w:sz w:val="22"/>
                <w:szCs w:val="22"/>
              </w:rPr>
            </w:pPr>
            <w:r w:rsidRPr="00F37A5F">
              <w:rPr>
                <w:sz w:val="22"/>
                <w:szCs w:val="22"/>
              </w:rPr>
              <w:t xml:space="preserve">Нове керівництво визначає систему, яка дозволяє визначити наявність внеску і суттєвого процесу, у тому числі для компаній, які знаходяться на ранніх етапах розвитку і ще не отримали віддачу. У разі відсутності віддачі, для того щоб підприємство вважалося бізнесом, має бути наявним організований трудовий колектив. </w:t>
            </w:r>
          </w:p>
          <w:p w:rsidR="008442A5" w:rsidRPr="00F37A5F" w:rsidRDefault="008442A5" w:rsidP="00C64983">
            <w:pPr>
              <w:rPr>
                <w:sz w:val="22"/>
                <w:szCs w:val="22"/>
              </w:rPr>
            </w:pPr>
            <w:r w:rsidRPr="00F37A5F">
              <w:rPr>
                <w:sz w:val="22"/>
                <w:szCs w:val="22"/>
              </w:rPr>
              <w:t xml:space="preserve">Визначення терміну «віддача» звужується, щоб зосередити увагу на товарах і послугах, які надаються клієнтам, на формуванні інвестиційного доходу та інших доходів, при цьому виключаються результати у формі скорочення витрат та інших економічних вигод. Крім того, наразі більше не потрібно оцінювати спроможність учасників ринку замінювати відсутні елементи чи інтегрувати придбану діяльність і активи. </w:t>
            </w:r>
          </w:p>
          <w:p w:rsidR="008442A5" w:rsidRPr="00F37A5F" w:rsidRDefault="008442A5" w:rsidP="00C64983">
            <w:pPr>
              <w:rPr>
                <w:sz w:val="22"/>
                <w:szCs w:val="22"/>
              </w:rPr>
            </w:pPr>
            <w:r w:rsidRPr="00F37A5F">
              <w:rPr>
                <w:sz w:val="22"/>
                <w:szCs w:val="22"/>
              </w:rPr>
              <w:t xml:space="preserve">Організація може застосувати «тест на концентрацію». Придбані активи не вважатимуться бізнесом, якщо практично вся справедлива вартість придбаних валових активів сконцентрована в одному активі (або групі аналогічних активів). </w:t>
            </w:r>
          </w:p>
        </w:tc>
        <w:tc>
          <w:tcPr>
            <w:tcW w:w="1134" w:type="dxa"/>
            <w:vAlign w:val="center"/>
          </w:tcPr>
          <w:p w:rsidR="008442A5" w:rsidRPr="00F37A5F" w:rsidRDefault="008442A5" w:rsidP="00C64983">
            <w:pPr>
              <w:jc w:val="center"/>
              <w:rPr>
                <w:sz w:val="22"/>
                <w:szCs w:val="22"/>
              </w:rPr>
            </w:pPr>
            <w:r w:rsidRPr="00F37A5F">
              <w:rPr>
                <w:sz w:val="22"/>
                <w:szCs w:val="22"/>
              </w:rPr>
              <w:t>01.01.2020</w:t>
            </w:r>
          </w:p>
        </w:tc>
        <w:tc>
          <w:tcPr>
            <w:tcW w:w="993" w:type="dxa"/>
            <w:vAlign w:val="center"/>
          </w:tcPr>
          <w:p w:rsidR="008442A5" w:rsidRPr="00F37A5F" w:rsidRDefault="008442A5" w:rsidP="00C64983">
            <w:pPr>
              <w:jc w:val="center"/>
              <w:rPr>
                <w:sz w:val="22"/>
                <w:szCs w:val="22"/>
              </w:rPr>
            </w:pPr>
            <w:r w:rsidRPr="00F37A5F">
              <w:rPr>
                <w:sz w:val="22"/>
                <w:szCs w:val="22"/>
              </w:rPr>
              <w:t>Ці зміни є перспективними</w:t>
            </w:r>
          </w:p>
        </w:tc>
      </w:tr>
      <w:tr w:rsidR="008442A5" w:rsidRPr="005B398D" w:rsidTr="00C64983">
        <w:trPr>
          <w:trHeight w:val="2968"/>
        </w:trPr>
        <w:tc>
          <w:tcPr>
            <w:tcW w:w="1951" w:type="dxa"/>
            <w:vAlign w:val="center"/>
          </w:tcPr>
          <w:p w:rsidR="008442A5" w:rsidRPr="00F37A5F" w:rsidRDefault="008442A5" w:rsidP="00C64983">
            <w:pPr>
              <w:jc w:val="center"/>
              <w:rPr>
                <w:sz w:val="22"/>
                <w:szCs w:val="22"/>
              </w:rPr>
            </w:pPr>
            <w:r w:rsidRPr="00F37A5F">
              <w:rPr>
                <w:sz w:val="22"/>
                <w:szCs w:val="22"/>
              </w:rPr>
              <w:t>МСБО 1 «Подання фінансової звітності» та МСБО 8 «Облікова політика, зміни в облікових оцінках та помилки»</w:t>
            </w:r>
          </w:p>
        </w:tc>
        <w:tc>
          <w:tcPr>
            <w:tcW w:w="6237" w:type="dxa"/>
            <w:vAlign w:val="center"/>
          </w:tcPr>
          <w:p w:rsidR="008442A5" w:rsidRPr="00F37A5F" w:rsidRDefault="008442A5" w:rsidP="00C64983">
            <w:pPr>
              <w:rPr>
                <w:sz w:val="22"/>
                <w:szCs w:val="22"/>
              </w:rPr>
            </w:pPr>
            <w:r w:rsidRPr="00F37A5F">
              <w:rPr>
                <w:sz w:val="22"/>
                <w:szCs w:val="22"/>
              </w:rPr>
              <w:t xml:space="preserve">Зміни уточнюють визначення суттєвості, пояснення до цього визначення та застосування цього поняття завдяки включенню рекомендацій щодо визначення, які раніше були наведені в інших стандартах МСФЗ. </w:t>
            </w:r>
          </w:p>
          <w:p w:rsidR="008442A5" w:rsidRPr="00F37A5F" w:rsidRDefault="008442A5" w:rsidP="00C64983">
            <w:pPr>
              <w:rPr>
                <w:sz w:val="22"/>
                <w:szCs w:val="22"/>
              </w:rPr>
            </w:pPr>
            <w:r w:rsidRPr="00F37A5F">
              <w:rPr>
                <w:i/>
                <w:iCs/>
                <w:sz w:val="22"/>
                <w:szCs w:val="22"/>
              </w:rPr>
              <w:t>Інформація є суттєвою, якщо обґрунтовано очікується, що її пропуск, спотворення або затуманення може вплинути на рішення основних користувачів фінансової звітності загального призначення, винесені на підставі такої фінансової звітності, що представляє фінансову інформацію про звітуючу компанію</w:t>
            </w:r>
          </w:p>
          <w:p w:rsidR="008442A5" w:rsidRPr="00F37A5F" w:rsidRDefault="008442A5" w:rsidP="00C64983">
            <w:pPr>
              <w:rPr>
                <w:sz w:val="22"/>
                <w:szCs w:val="22"/>
              </w:rPr>
            </w:pPr>
            <w:r w:rsidRPr="00F37A5F">
              <w:rPr>
                <w:sz w:val="22"/>
                <w:szCs w:val="22"/>
              </w:rPr>
              <w:t xml:space="preserve">Зміни забезпечують послідовність використання визначення суттєвості в усіх стандартах МСФЗ. </w:t>
            </w:r>
          </w:p>
        </w:tc>
        <w:tc>
          <w:tcPr>
            <w:tcW w:w="1134" w:type="dxa"/>
            <w:vAlign w:val="center"/>
          </w:tcPr>
          <w:p w:rsidR="008442A5" w:rsidRPr="00F37A5F" w:rsidRDefault="008442A5" w:rsidP="00C64983">
            <w:pPr>
              <w:jc w:val="center"/>
              <w:rPr>
                <w:sz w:val="22"/>
                <w:szCs w:val="22"/>
              </w:rPr>
            </w:pPr>
            <w:r w:rsidRPr="00F37A5F">
              <w:rPr>
                <w:sz w:val="22"/>
                <w:szCs w:val="22"/>
              </w:rPr>
              <w:t>01.01.2020</w:t>
            </w:r>
          </w:p>
        </w:tc>
        <w:tc>
          <w:tcPr>
            <w:tcW w:w="993" w:type="dxa"/>
            <w:vAlign w:val="center"/>
          </w:tcPr>
          <w:p w:rsidR="008442A5" w:rsidRPr="00F37A5F" w:rsidRDefault="008442A5" w:rsidP="00C64983">
            <w:pPr>
              <w:jc w:val="center"/>
              <w:rPr>
                <w:sz w:val="22"/>
                <w:szCs w:val="22"/>
              </w:rPr>
            </w:pPr>
            <w:r w:rsidRPr="00F37A5F">
              <w:rPr>
                <w:sz w:val="22"/>
                <w:szCs w:val="22"/>
              </w:rPr>
              <w:t>Дозволяється</w:t>
            </w:r>
          </w:p>
        </w:tc>
      </w:tr>
      <w:tr w:rsidR="008442A5" w:rsidRPr="005B398D" w:rsidTr="00C64983">
        <w:tc>
          <w:tcPr>
            <w:tcW w:w="1951" w:type="dxa"/>
            <w:vAlign w:val="center"/>
          </w:tcPr>
          <w:p w:rsidR="008442A5" w:rsidRPr="00F37A5F" w:rsidRDefault="008442A5" w:rsidP="00C64983">
            <w:pPr>
              <w:jc w:val="center"/>
              <w:rPr>
                <w:sz w:val="22"/>
                <w:szCs w:val="22"/>
              </w:rPr>
            </w:pPr>
            <w:r w:rsidRPr="00F37A5F">
              <w:rPr>
                <w:sz w:val="22"/>
                <w:szCs w:val="22"/>
              </w:rPr>
              <w:t xml:space="preserve">МСБО 10 «Події після звітного періоду», МСБО 34 «Проміжна фінансова звітність», МСБО 37 «Забезпечення, непередбачені зобов'язання та непередбачені активи", Керівництво із застосування МСФЗ 2 «Виплати на основі акцій», Посібник з застосування МСФЗ 4 «Договори страхування», Основи для висновків до МСФЗ 17 «Страхові </w:t>
            </w:r>
            <w:r w:rsidRPr="00F37A5F">
              <w:rPr>
                <w:sz w:val="22"/>
                <w:szCs w:val="22"/>
              </w:rPr>
              <w:lastRenderedPageBreak/>
              <w:t>контракти».</w:t>
            </w:r>
          </w:p>
        </w:tc>
        <w:tc>
          <w:tcPr>
            <w:tcW w:w="6237" w:type="dxa"/>
            <w:vAlign w:val="center"/>
          </w:tcPr>
          <w:p w:rsidR="008442A5" w:rsidRPr="00F37A5F" w:rsidRDefault="008442A5" w:rsidP="00C64983">
            <w:pPr>
              <w:rPr>
                <w:sz w:val="22"/>
                <w:szCs w:val="22"/>
              </w:rPr>
            </w:pPr>
            <w:r w:rsidRPr="00F37A5F">
              <w:rPr>
                <w:sz w:val="22"/>
                <w:szCs w:val="22"/>
              </w:rPr>
              <w:lastRenderedPageBreak/>
              <w:t>У всіх випадках словосполучення «економічні рішення» замінено словом «рішення», а поняття «користувачі» звужено до «основних користувачів».</w:t>
            </w:r>
          </w:p>
        </w:tc>
        <w:tc>
          <w:tcPr>
            <w:tcW w:w="1134" w:type="dxa"/>
            <w:vAlign w:val="center"/>
          </w:tcPr>
          <w:p w:rsidR="008442A5" w:rsidRPr="00F37A5F" w:rsidRDefault="008442A5" w:rsidP="00C64983">
            <w:pPr>
              <w:jc w:val="center"/>
              <w:rPr>
                <w:sz w:val="22"/>
                <w:szCs w:val="22"/>
              </w:rPr>
            </w:pPr>
            <w:r w:rsidRPr="00F37A5F">
              <w:rPr>
                <w:sz w:val="22"/>
                <w:szCs w:val="22"/>
              </w:rPr>
              <w:t>01.01.2020</w:t>
            </w:r>
          </w:p>
        </w:tc>
        <w:tc>
          <w:tcPr>
            <w:tcW w:w="993" w:type="dxa"/>
            <w:vAlign w:val="center"/>
          </w:tcPr>
          <w:p w:rsidR="008442A5" w:rsidRPr="00F37A5F" w:rsidRDefault="008442A5" w:rsidP="00C64983">
            <w:pPr>
              <w:jc w:val="center"/>
              <w:rPr>
                <w:sz w:val="22"/>
                <w:szCs w:val="22"/>
              </w:rPr>
            </w:pPr>
            <w:r w:rsidRPr="00F37A5F">
              <w:rPr>
                <w:sz w:val="22"/>
                <w:szCs w:val="22"/>
              </w:rPr>
              <w:t>Дозволяється</w:t>
            </w:r>
          </w:p>
        </w:tc>
      </w:tr>
      <w:tr w:rsidR="008442A5" w:rsidRPr="005B398D" w:rsidTr="00C64983">
        <w:tc>
          <w:tcPr>
            <w:tcW w:w="1951" w:type="dxa"/>
            <w:vAlign w:val="center"/>
          </w:tcPr>
          <w:p w:rsidR="008442A5" w:rsidRPr="00F37A5F" w:rsidRDefault="008442A5" w:rsidP="00C64983">
            <w:pPr>
              <w:jc w:val="center"/>
              <w:rPr>
                <w:sz w:val="22"/>
                <w:szCs w:val="22"/>
              </w:rPr>
            </w:pPr>
            <w:r w:rsidRPr="00F37A5F">
              <w:rPr>
                <w:sz w:val="22"/>
                <w:szCs w:val="22"/>
              </w:rPr>
              <w:lastRenderedPageBreak/>
              <w:t>МСФЗ 9 «Фінансові інструменти», МСФОЗ 7 «Фінансові інструменти: розкриття інформації», МСБО 39 «Фінансові інструменти: визнання та оцінка»</w:t>
            </w:r>
          </w:p>
        </w:tc>
        <w:tc>
          <w:tcPr>
            <w:tcW w:w="6237" w:type="dxa"/>
            <w:vAlign w:val="center"/>
          </w:tcPr>
          <w:p w:rsidR="008442A5" w:rsidRPr="00F37A5F" w:rsidRDefault="008442A5" w:rsidP="00C64983">
            <w:pPr>
              <w:rPr>
                <w:sz w:val="22"/>
                <w:szCs w:val="22"/>
              </w:rPr>
            </w:pPr>
            <w:r w:rsidRPr="00F37A5F">
              <w:rPr>
                <w:sz w:val="22"/>
                <w:szCs w:val="22"/>
              </w:rPr>
              <w:t>Зміни стосуються процентних ставок (такі як LIBOR, EURIBOR і TIBOR), що використовуються в різних фінансових інструментах: від іпотечних кредитів до похідних інструментів.</w:t>
            </w:r>
          </w:p>
          <w:p w:rsidR="008442A5" w:rsidRPr="00F37A5F" w:rsidRDefault="008442A5" w:rsidP="00C64983">
            <w:pPr>
              <w:rPr>
                <w:sz w:val="22"/>
                <w:szCs w:val="22"/>
              </w:rPr>
            </w:pPr>
            <w:r w:rsidRPr="00F37A5F">
              <w:rPr>
                <w:sz w:val="22"/>
                <w:szCs w:val="22"/>
              </w:rPr>
              <w:t xml:space="preserve">Поправки </w:t>
            </w:r>
          </w:p>
          <w:p w:rsidR="008442A5" w:rsidRPr="00F37A5F" w:rsidRDefault="008442A5" w:rsidP="008442A5">
            <w:pPr>
              <w:pStyle w:val="af4"/>
              <w:numPr>
                <w:ilvl w:val="0"/>
                <w:numId w:val="19"/>
              </w:numPr>
              <w:tabs>
                <w:tab w:val="left" w:pos="522"/>
              </w:tabs>
              <w:spacing w:after="0" w:line="240" w:lineRule="auto"/>
              <w:ind w:left="0" w:firstLine="239"/>
              <w:rPr>
                <w:rFonts w:ascii="Times New Roman" w:hAnsi="Times New Roman"/>
                <w:lang w:val="uk-UA"/>
              </w:rPr>
            </w:pPr>
            <w:r w:rsidRPr="00F37A5F">
              <w:rPr>
                <w:rFonts w:ascii="Times New Roman" w:hAnsi="Times New Roman"/>
                <w:lang w:val="uk-UA"/>
              </w:rPr>
              <w:t>змінили вимоги до обліку хеджування: при обліку хеджування передбачається, що контрольний показник процентної ставки, на якому засновані грошові потоки, що хеджуються і грошові потоки від інструменту хеджування, не зміниться в результаті реформи;</w:t>
            </w:r>
          </w:p>
          <w:p w:rsidR="008442A5" w:rsidRPr="00F37A5F" w:rsidRDefault="008442A5" w:rsidP="008442A5">
            <w:pPr>
              <w:pStyle w:val="af4"/>
              <w:numPr>
                <w:ilvl w:val="0"/>
                <w:numId w:val="19"/>
              </w:numPr>
              <w:tabs>
                <w:tab w:val="left" w:pos="522"/>
              </w:tabs>
              <w:spacing w:after="0" w:line="240" w:lineRule="auto"/>
              <w:ind w:left="0" w:firstLine="239"/>
              <w:rPr>
                <w:rFonts w:ascii="Times New Roman" w:hAnsi="Times New Roman"/>
                <w:lang w:val="uk-UA"/>
              </w:rPr>
            </w:pPr>
            <w:r w:rsidRPr="00F37A5F">
              <w:rPr>
                <w:rFonts w:ascii="Times New Roman" w:hAnsi="Times New Roman"/>
                <w:lang w:val="uk-UA"/>
              </w:rPr>
              <w:t>обов'язкові для всіх відносин хеджування, на які безпосередньо впливає реформа внутрішньобанківської ставки рефінансування;</w:t>
            </w:r>
          </w:p>
          <w:p w:rsidR="008442A5" w:rsidRPr="00F37A5F" w:rsidRDefault="008442A5" w:rsidP="008442A5">
            <w:pPr>
              <w:pStyle w:val="af4"/>
              <w:numPr>
                <w:ilvl w:val="0"/>
                <w:numId w:val="19"/>
              </w:numPr>
              <w:tabs>
                <w:tab w:val="left" w:pos="522"/>
              </w:tabs>
              <w:spacing w:after="0" w:line="240" w:lineRule="auto"/>
              <w:ind w:left="0" w:firstLine="239"/>
              <w:rPr>
                <w:rFonts w:ascii="Times New Roman" w:hAnsi="Times New Roman"/>
                <w:lang w:val="uk-UA"/>
              </w:rPr>
            </w:pPr>
            <w:r w:rsidRPr="00F37A5F">
              <w:rPr>
                <w:rFonts w:ascii="Times New Roman" w:hAnsi="Times New Roman"/>
                <w:lang w:val="uk-UA"/>
              </w:rPr>
              <w:t>не можна використовувати для усунення будь-яких інших наслідків реформи;</w:t>
            </w:r>
          </w:p>
          <w:p w:rsidR="008442A5" w:rsidRPr="00F37A5F" w:rsidRDefault="008442A5" w:rsidP="008442A5">
            <w:pPr>
              <w:pStyle w:val="af4"/>
              <w:numPr>
                <w:ilvl w:val="0"/>
                <w:numId w:val="19"/>
              </w:numPr>
              <w:tabs>
                <w:tab w:val="left" w:pos="522"/>
              </w:tabs>
              <w:spacing w:after="0" w:line="240" w:lineRule="auto"/>
              <w:ind w:left="0" w:firstLine="239"/>
              <w:rPr>
                <w:rFonts w:ascii="Times New Roman" w:hAnsi="Times New Roman"/>
                <w:lang w:val="uk-UA"/>
              </w:rPr>
            </w:pPr>
            <w:r w:rsidRPr="00F37A5F">
              <w:rPr>
                <w:rFonts w:ascii="Times New Roman" w:hAnsi="Times New Roman"/>
                <w:lang w:val="uk-UA"/>
              </w:rPr>
              <w:t>вимагають розкриття інформації про ступінь впливу поправок на відносини хеджування.</w:t>
            </w:r>
          </w:p>
        </w:tc>
        <w:tc>
          <w:tcPr>
            <w:tcW w:w="1134" w:type="dxa"/>
            <w:vAlign w:val="center"/>
          </w:tcPr>
          <w:p w:rsidR="008442A5" w:rsidRPr="00F37A5F" w:rsidRDefault="008442A5" w:rsidP="00C64983">
            <w:pPr>
              <w:jc w:val="center"/>
              <w:rPr>
                <w:sz w:val="22"/>
                <w:szCs w:val="22"/>
              </w:rPr>
            </w:pPr>
            <w:r w:rsidRPr="00F37A5F">
              <w:rPr>
                <w:sz w:val="22"/>
                <w:szCs w:val="22"/>
              </w:rPr>
              <w:t>01.01.2020</w:t>
            </w:r>
          </w:p>
        </w:tc>
        <w:tc>
          <w:tcPr>
            <w:tcW w:w="993" w:type="dxa"/>
            <w:vAlign w:val="center"/>
          </w:tcPr>
          <w:p w:rsidR="008442A5" w:rsidRPr="00F37A5F" w:rsidRDefault="008442A5" w:rsidP="00C64983">
            <w:pPr>
              <w:jc w:val="center"/>
              <w:rPr>
                <w:sz w:val="22"/>
                <w:szCs w:val="22"/>
              </w:rPr>
            </w:pPr>
            <w:r w:rsidRPr="00F37A5F">
              <w:rPr>
                <w:sz w:val="22"/>
                <w:szCs w:val="22"/>
              </w:rPr>
              <w:t>Дозволяється</w:t>
            </w:r>
          </w:p>
        </w:tc>
      </w:tr>
    </w:tbl>
    <w:p w:rsidR="008442A5" w:rsidRPr="005B398D" w:rsidRDefault="008442A5" w:rsidP="008442A5">
      <w:pPr>
        <w:ind w:firstLine="567"/>
        <w:jc w:val="both"/>
        <w:rPr>
          <w:szCs w:val="24"/>
        </w:rPr>
      </w:pPr>
    </w:p>
    <w:p w:rsidR="008442A5" w:rsidRPr="005B398D" w:rsidRDefault="008442A5" w:rsidP="008442A5">
      <w:pPr>
        <w:ind w:firstLine="567"/>
        <w:jc w:val="both"/>
        <w:rPr>
          <w:szCs w:val="24"/>
        </w:rPr>
      </w:pPr>
      <w:r w:rsidRPr="005B398D">
        <w:rPr>
          <w:szCs w:val="24"/>
        </w:rPr>
        <w:t>Компанія у фінансовій звітності за рік, що закінчився 31.12.2019 р., не застосувала достроково опубліковані МСФЗ, поправки до них та інтерпретації. Прогнозований (очікуваний) ступінь впливу опублікованих МСФЗ, поправок до них та інтерпретацій  на наступні звітні періоди вивчається підприємством.</w:t>
      </w:r>
    </w:p>
    <w:p w:rsidR="00FB4491" w:rsidRDefault="00FB4491" w:rsidP="00211AEB">
      <w:pPr>
        <w:autoSpaceDE w:val="0"/>
        <w:autoSpaceDN w:val="0"/>
        <w:adjustRightInd w:val="0"/>
        <w:ind w:firstLine="540"/>
        <w:jc w:val="both"/>
        <w:rPr>
          <w:b/>
          <w:bCs/>
          <w:szCs w:val="24"/>
        </w:rPr>
      </w:pPr>
    </w:p>
    <w:p w:rsidR="00211AEB" w:rsidRPr="004035A4" w:rsidRDefault="00211AEB" w:rsidP="00FB4491">
      <w:pPr>
        <w:autoSpaceDE w:val="0"/>
        <w:autoSpaceDN w:val="0"/>
        <w:adjustRightInd w:val="0"/>
        <w:ind w:firstLine="540"/>
        <w:jc w:val="center"/>
        <w:rPr>
          <w:b/>
          <w:bCs/>
          <w:szCs w:val="24"/>
        </w:rPr>
      </w:pPr>
      <w:r w:rsidRPr="004035A4">
        <w:rPr>
          <w:b/>
          <w:bCs/>
          <w:szCs w:val="24"/>
        </w:rPr>
        <w:t>3. Облікова політика</w:t>
      </w:r>
    </w:p>
    <w:p w:rsidR="004D7AFF" w:rsidRDefault="004D7AFF" w:rsidP="00FB4491">
      <w:pPr>
        <w:autoSpaceDE w:val="0"/>
        <w:autoSpaceDN w:val="0"/>
        <w:adjustRightInd w:val="0"/>
        <w:ind w:firstLine="540"/>
        <w:jc w:val="center"/>
        <w:rPr>
          <w:b/>
          <w:bCs/>
          <w:szCs w:val="24"/>
        </w:rPr>
      </w:pPr>
    </w:p>
    <w:p w:rsidR="00211AEB" w:rsidRPr="004035A4" w:rsidRDefault="00211AEB" w:rsidP="00FB4491">
      <w:pPr>
        <w:autoSpaceDE w:val="0"/>
        <w:autoSpaceDN w:val="0"/>
        <w:adjustRightInd w:val="0"/>
        <w:ind w:firstLine="540"/>
        <w:jc w:val="center"/>
        <w:rPr>
          <w:b/>
          <w:bCs/>
          <w:szCs w:val="24"/>
        </w:rPr>
      </w:pPr>
      <w:r w:rsidRPr="004035A4">
        <w:rPr>
          <w:b/>
          <w:bCs/>
          <w:szCs w:val="24"/>
        </w:rPr>
        <w:t>3.1. Концептуальна основа</w:t>
      </w:r>
    </w:p>
    <w:p w:rsidR="00211AEB" w:rsidRPr="00624B18" w:rsidRDefault="00211AEB" w:rsidP="00211AEB">
      <w:pPr>
        <w:ind w:firstLine="567"/>
        <w:jc w:val="both"/>
        <w:rPr>
          <w:szCs w:val="24"/>
        </w:rPr>
      </w:pPr>
      <w:r w:rsidRPr="004035A4">
        <w:rPr>
          <w:szCs w:val="24"/>
        </w:rPr>
        <w:t>Фінансова звітність Ломбарду за 201</w:t>
      </w:r>
      <w:r w:rsidR="001776E9">
        <w:rPr>
          <w:szCs w:val="24"/>
        </w:rPr>
        <w:t>9</w:t>
      </w:r>
      <w:r w:rsidRPr="004035A4">
        <w:rPr>
          <w:szCs w:val="24"/>
        </w:rPr>
        <w:t xml:space="preserve"> звітний рік,  відображає його фінансовий стан на 31.12.201</w:t>
      </w:r>
      <w:r w:rsidR="001776E9">
        <w:rPr>
          <w:szCs w:val="24"/>
        </w:rPr>
        <w:t>9</w:t>
      </w:r>
      <w:r w:rsidRPr="004035A4">
        <w:rPr>
          <w:szCs w:val="24"/>
        </w:rPr>
        <w:t xml:space="preserve"> року, фінансові результати та рух грошових коштів за рік, що закінчився на зазначену дату, а також іншу пояснювальну інформацію, відповідно до Міжнародних стандартів фінансової звітності</w:t>
      </w:r>
      <w:r w:rsidRPr="004035A4">
        <w:rPr>
          <w:i/>
          <w:szCs w:val="24"/>
        </w:rPr>
        <w:t xml:space="preserve"> </w:t>
      </w:r>
      <w:r w:rsidRPr="004035A4">
        <w:rPr>
          <w:szCs w:val="24"/>
        </w:rPr>
        <w:t>(МСФЗ), виданих Радою з Міжнародних стандартів бухгалтерського обліку (РМСБО), які в Україні визначені в якості застосовної концептуальної основи фінансової звітності Законом України «Про бухгалтерський облік та фінансову звітність» і є для  Ломбарду</w:t>
      </w:r>
      <w:r w:rsidRPr="004035A4">
        <w:rPr>
          <w:i/>
          <w:szCs w:val="24"/>
        </w:rPr>
        <w:t xml:space="preserve"> </w:t>
      </w:r>
      <w:r w:rsidRPr="004035A4">
        <w:rPr>
          <w:szCs w:val="24"/>
        </w:rPr>
        <w:t xml:space="preserve"> </w:t>
      </w:r>
      <w:r w:rsidRPr="00624B18">
        <w:rPr>
          <w:szCs w:val="24"/>
        </w:rPr>
        <w:t>прийнятною концептуальної основи загального призначення, яка водночас також є концептуальною основою достовірного подання.</w:t>
      </w:r>
    </w:p>
    <w:p w:rsidR="00211AEB" w:rsidRPr="00624B18" w:rsidRDefault="00211AEB" w:rsidP="00211AEB">
      <w:pPr>
        <w:autoSpaceDE w:val="0"/>
        <w:ind w:right="28" w:firstLine="567"/>
        <w:jc w:val="both"/>
        <w:rPr>
          <w:szCs w:val="24"/>
        </w:rPr>
      </w:pPr>
    </w:p>
    <w:p w:rsidR="000979B7" w:rsidRPr="004035A4" w:rsidRDefault="000979B7" w:rsidP="00FB4491">
      <w:pPr>
        <w:ind w:firstLine="567"/>
        <w:jc w:val="center"/>
        <w:rPr>
          <w:b/>
          <w:bCs/>
        </w:rPr>
      </w:pPr>
      <w:r w:rsidRPr="004035A4">
        <w:rPr>
          <w:b/>
          <w:bCs/>
        </w:rPr>
        <w:t>3.2. Основи облікової політики та складання звітності</w:t>
      </w:r>
    </w:p>
    <w:p w:rsidR="000979B7" w:rsidRPr="004035A4" w:rsidRDefault="000979B7" w:rsidP="00DC2A23">
      <w:pPr>
        <w:autoSpaceDE w:val="0"/>
        <w:autoSpaceDN w:val="0"/>
        <w:adjustRightInd w:val="0"/>
        <w:ind w:firstLine="540"/>
        <w:jc w:val="both"/>
      </w:pPr>
      <w:r w:rsidRPr="004035A4">
        <w:t>Облікова політика Ломбарду встановлює порядок організації та ведення бухгалтерського обліку, визначає принципи, методи і процедури, що використовуються Товариством для складання та подання фінансової звітності.</w:t>
      </w:r>
    </w:p>
    <w:p w:rsidR="000979B7" w:rsidRPr="004035A4" w:rsidRDefault="000979B7" w:rsidP="00DC2A23">
      <w:pPr>
        <w:autoSpaceDE w:val="0"/>
        <w:autoSpaceDN w:val="0"/>
        <w:adjustRightInd w:val="0"/>
        <w:ind w:firstLine="540"/>
        <w:jc w:val="both"/>
      </w:pPr>
      <w:r w:rsidRPr="004035A4">
        <w:t>Облікова політика Ломбарду – документ, головною метою якого є загальна регламентація застосованих на практиці прийомів та методів бухгалтерського обліку, технологій обробки облікової інформації та документообігу.</w:t>
      </w:r>
    </w:p>
    <w:p w:rsidR="000979B7" w:rsidRPr="004035A4" w:rsidRDefault="000979B7" w:rsidP="00DC2A23">
      <w:pPr>
        <w:autoSpaceDE w:val="0"/>
        <w:autoSpaceDN w:val="0"/>
        <w:adjustRightInd w:val="0"/>
        <w:ind w:firstLine="540"/>
        <w:jc w:val="both"/>
      </w:pPr>
      <w:r w:rsidRPr="004035A4">
        <w:t>Облікова політика Ломбарду будується у відповідності з чинним законодавством України, а саме: Законом України «Про бухгалтерський облік та фінансову звітність в Україні», нормативними актами Нацкомфінпослуг, обраним планом рахунків бухгалтерського обліку активів, капіталу, зобов’язань і господарських операцій, основними принципами міжнародних стандартів фінансової звітності, внутрішніми нормативними документами Товариства, що визначають порядок здійснення бухгалтерських операцій.</w:t>
      </w:r>
    </w:p>
    <w:p w:rsidR="000979B7" w:rsidRPr="004035A4" w:rsidRDefault="000979B7" w:rsidP="00DC2A23">
      <w:pPr>
        <w:autoSpaceDE w:val="0"/>
        <w:autoSpaceDN w:val="0"/>
        <w:adjustRightInd w:val="0"/>
        <w:ind w:firstLine="540"/>
        <w:jc w:val="both"/>
      </w:pPr>
      <w:r w:rsidRPr="004035A4">
        <w:t>Обрана Товариством облікова політика:</w:t>
      </w:r>
    </w:p>
    <w:p w:rsidR="000979B7" w:rsidRPr="004035A4" w:rsidRDefault="000979B7" w:rsidP="00DC2A23">
      <w:pPr>
        <w:autoSpaceDE w:val="0"/>
        <w:autoSpaceDN w:val="0"/>
        <w:adjustRightInd w:val="0"/>
        <w:ind w:firstLine="540"/>
        <w:jc w:val="both"/>
      </w:pPr>
      <w:r w:rsidRPr="004035A4">
        <w:t>- забезпечує повноту та достовірність відображення операцій в обліку;</w:t>
      </w:r>
    </w:p>
    <w:p w:rsidR="000979B7" w:rsidRPr="004035A4" w:rsidRDefault="000979B7" w:rsidP="00DC2A23">
      <w:pPr>
        <w:autoSpaceDE w:val="0"/>
        <w:autoSpaceDN w:val="0"/>
        <w:adjustRightInd w:val="0"/>
        <w:ind w:firstLine="540"/>
        <w:jc w:val="both"/>
      </w:pPr>
      <w:r w:rsidRPr="004035A4">
        <w:t>- визначає систему ведення бухгалтерського обліку;</w:t>
      </w:r>
    </w:p>
    <w:p w:rsidR="000979B7" w:rsidRPr="004035A4" w:rsidRDefault="000979B7" w:rsidP="00DC2A23">
      <w:pPr>
        <w:autoSpaceDE w:val="0"/>
        <w:autoSpaceDN w:val="0"/>
        <w:adjustRightInd w:val="0"/>
        <w:ind w:firstLine="540"/>
        <w:jc w:val="both"/>
      </w:pPr>
      <w:r w:rsidRPr="004035A4">
        <w:t>- закріплює правила та процедури, прийняті керівництвом для ведення фінансового, управлінського та податкового обліку;</w:t>
      </w:r>
    </w:p>
    <w:p w:rsidR="000979B7" w:rsidRPr="004035A4" w:rsidRDefault="000979B7" w:rsidP="00DC2A23">
      <w:pPr>
        <w:autoSpaceDE w:val="0"/>
        <w:autoSpaceDN w:val="0"/>
        <w:adjustRightInd w:val="0"/>
        <w:ind w:firstLine="540"/>
        <w:jc w:val="both"/>
      </w:pPr>
      <w:r w:rsidRPr="004035A4">
        <w:t>- відображає особливості організації та ведення бухгалтерського обліку;</w:t>
      </w:r>
    </w:p>
    <w:p w:rsidR="000979B7" w:rsidRPr="004035A4" w:rsidRDefault="000979B7" w:rsidP="00DC2A23">
      <w:pPr>
        <w:autoSpaceDE w:val="0"/>
        <w:autoSpaceDN w:val="0"/>
        <w:adjustRightInd w:val="0"/>
        <w:ind w:firstLine="540"/>
        <w:jc w:val="both"/>
      </w:pPr>
      <w:r w:rsidRPr="004035A4">
        <w:t>- сприяє виконанню повного обсягу фінансово - господарських операцій;</w:t>
      </w:r>
    </w:p>
    <w:p w:rsidR="000979B7" w:rsidRPr="004035A4" w:rsidRDefault="000979B7" w:rsidP="00DC2A23">
      <w:pPr>
        <w:autoSpaceDE w:val="0"/>
        <w:autoSpaceDN w:val="0"/>
        <w:adjustRightInd w:val="0"/>
        <w:ind w:firstLine="540"/>
        <w:jc w:val="both"/>
      </w:pPr>
      <w:r w:rsidRPr="004035A4">
        <w:t>- забезпечує встановлення контролю здійснення цих операцій;</w:t>
      </w:r>
    </w:p>
    <w:p w:rsidR="000979B7" w:rsidRPr="004035A4" w:rsidRDefault="000979B7" w:rsidP="00DC2A23">
      <w:pPr>
        <w:autoSpaceDE w:val="0"/>
        <w:autoSpaceDN w:val="0"/>
        <w:adjustRightInd w:val="0"/>
        <w:ind w:firstLine="540"/>
        <w:jc w:val="both"/>
      </w:pPr>
      <w:r w:rsidRPr="004035A4">
        <w:lastRenderedPageBreak/>
        <w:t>- встановлює правила документообігу;</w:t>
      </w:r>
    </w:p>
    <w:p w:rsidR="000979B7" w:rsidRPr="004035A4" w:rsidRDefault="000979B7" w:rsidP="00DC2A23">
      <w:pPr>
        <w:autoSpaceDE w:val="0"/>
        <w:autoSpaceDN w:val="0"/>
        <w:adjustRightInd w:val="0"/>
        <w:ind w:firstLine="540"/>
        <w:jc w:val="both"/>
      </w:pPr>
      <w:r w:rsidRPr="004035A4">
        <w:t>- затверджує ведення системи рахунків і регістрів бухгалтерського обліку;</w:t>
      </w:r>
    </w:p>
    <w:p w:rsidR="000979B7" w:rsidRPr="004035A4" w:rsidRDefault="000979B7" w:rsidP="00DC2A23">
      <w:pPr>
        <w:autoSpaceDE w:val="0"/>
        <w:autoSpaceDN w:val="0"/>
        <w:adjustRightInd w:val="0"/>
        <w:ind w:firstLine="540"/>
        <w:jc w:val="both"/>
      </w:pPr>
      <w:r w:rsidRPr="004035A4">
        <w:t>- визначає технологію обробки облікової інформації.</w:t>
      </w:r>
    </w:p>
    <w:p w:rsidR="000979B7" w:rsidRPr="004035A4" w:rsidRDefault="000979B7" w:rsidP="00DC2A23">
      <w:pPr>
        <w:autoSpaceDE w:val="0"/>
        <w:autoSpaceDN w:val="0"/>
        <w:adjustRightInd w:val="0"/>
        <w:ind w:firstLine="540"/>
        <w:jc w:val="both"/>
      </w:pPr>
      <w:r w:rsidRPr="004035A4">
        <w:t>Облікова політика містить правила ведення бухгалтерського обліку, дотримання яких є обов’язковими. За цим документом затверджується методологія відображення окремих бухгалтерських операцій та особливості організації бухгалтерського обліку.</w:t>
      </w:r>
    </w:p>
    <w:p w:rsidR="000979B7" w:rsidRPr="004035A4" w:rsidRDefault="000979B7" w:rsidP="00DC2A23">
      <w:pPr>
        <w:autoSpaceDE w:val="0"/>
        <w:autoSpaceDN w:val="0"/>
        <w:adjustRightInd w:val="0"/>
        <w:ind w:firstLine="540"/>
        <w:jc w:val="both"/>
      </w:pPr>
      <w:r w:rsidRPr="004035A4">
        <w:t xml:space="preserve">Облікова політика Товариства базується на складових міжнародних стандартів бухгалтерського обліку: постійності правил бухгалтерського обліку, обачливості, нарахування, окремого відображення активів і зобов’язань, прийнятності вхідного балансу, пріоритеті змісту над формою, оцінюванні, відкритості, консолідації, суттєвості, безперервності діяльності, конфіденційності. Товариство постійно керується одними й тими ж правилами бухгалтерського обліку, крім випадків істотних змін в діяльності або в правовій базі. </w:t>
      </w:r>
    </w:p>
    <w:p w:rsidR="000979B7" w:rsidRPr="004035A4" w:rsidRDefault="000979B7" w:rsidP="00DC2A23">
      <w:pPr>
        <w:autoSpaceDE w:val="0"/>
        <w:autoSpaceDN w:val="0"/>
        <w:adjustRightInd w:val="0"/>
        <w:ind w:firstLine="540"/>
        <w:jc w:val="both"/>
        <w:rPr>
          <w:bCs/>
        </w:rPr>
      </w:pPr>
      <w:r w:rsidRPr="004035A4">
        <w:rPr>
          <w:bCs/>
        </w:rPr>
        <w:t>Доходи - це збільшення економічних вигод протягом облікового періоду у вигляді надходження чи збільшення корисності активів або зменшення зобов'язань, результатом чого є збільшення капіталу, за винятком його збільшення, пов'язаного з внесками акціонерів.</w:t>
      </w:r>
    </w:p>
    <w:p w:rsidR="000979B7" w:rsidRPr="004035A4" w:rsidRDefault="000979B7" w:rsidP="00DC2A23">
      <w:pPr>
        <w:autoSpaceDE w:val="0"/>
        <w:autoSpaceDN w:val="0"/>
        <w:adjustRightInd w:val="0"/>
        <w:ind w:firstLine="540"/>
        <w:jc w:val="both"/>
        <w:rPr>
          <w:bCs/>
        </w:rPr>
      </w:pPr>
      <w:r w:rsidRPr="004035A4">
        <w:rPr>
          <w:bCs/>
        </w:rPr>
        <w:t>Витрати - це зменшення економічних вигод протягом облікового періоду у вигляді вибуття чи амортизації активів або виникнення зобов'язань, що призводить до зменшення власного капіталу і не є розподіленням між акціонерами.</w:t>
      </w:r>
    </w:p>
    <w:p w:rsidR="000979B7" w:rsidRPr="004035A4" w:rsidRDefault="000979B7" w:rsidP="00DC2A23">
      <w:pPr>
        <w:autoSpaceDE w:val="0"/>
        <w:autoSpaceDN w:val="0"/>
        <w:adjustRightInd w:val="0"/>
        <w:ind w:firstLine="540"/>
        <w:jc w:val="both"/>
        <w:rPr>
          <w:bCs/>
        </w:rPr>
      </w:pPr>
      <w:r w:rsidRPr="004035A4">
        <w:rPr>
          <w:bCs/>
        </w:rPr>
        <w:t>Власний капітал - це залишкова частина в активах Ломбарду після вирахування всіх  зобов'язань.</w:t>
      </w:r>
    </w:p>
    <w:p w:rsidR="000979B7" w:rsidRPr="004035A4" w:rsidRDefault="000979B7" w:rsidP="00DC2A23">
      <w:pPr>
        <w:autoSpaceDE w:val="0"/>
        <w:autoSpaceDN w:val="0"/>
        <w:adjustRightInd w:val="0"/>
        <w:ind w:firstLine="540"/>
        <w:jc w:val="both"/>
      </w:pPr>
      <w:r w:rsidRPr="004035A4">
        <w:t>Облікова політика в Ломбарді застосовується до подій та операцій з часу їх виникнення.</w:t>
      </w:r>
    </w:p>
    <w:p w:rsidR="000979B7" w:rsidRPr="004035A4" w:rsidRDefault="000979B7" w:rsidP="00DC2A23">
      <w:pPr>
        <w:autoSpaceDE w:val="0"/>
        <w:autoSpaceDN w:val="0"/>
        <w:adjustRightInd w:val="0"/>
        <w:ind w:firstLine="540"/>
        <w:jc w:val="both"/>
      </w:pPr>
      <w:r w:rsidRPr="004035A4">
        <w:t>Актив враховується в балансі, коли є ймовірність надходження майбутніх економічних вигод для Ломбарду і актив має собівартість або вартість, яка може бути достовірно обчислена.</w:t>
      </w:r>
    </w:p>
    <w:p w:rsidR="000979B7" w:rsidRPr="004035A4" w:rsidRDefault="000979B7" w:rsidP="00DC2A23">
      <w:pPr>
        <w:autoSpaceDE w:val="0"/>
        <w:autoSpaceDN w:val="0"/>
        <w:adjustRightInd w:val="0"/>
        <w:ind w:firstLine="540"/>
        <w:jc w:val="both"/>
      </w:pPr>
      <w:r w:rsidRPr="004035A4">
        <w:t>Зобов’язання – це теперішня заборгованість, що виникає внаслідок минулих подій, від погашення якої очікується вибуття ресурсів Ломбарду.</w:t>
      </w:r>
    </w:p>
    <w:p w:rsidR="000979B7" w:rsidRPr="004035A4" w:rsidRDefault="000979B7" w:rsidP="00DC2A23">
      <w:pPr>
        <w:autoSpaceDE w:val="0"/>
        <w:autoSpaceDN w:val="0"/>
        <w:adjustRightInd w:val="0"/>
        <w:ind w:firstLine="540"/>
        <w:jc w:val="both"/>
      </w:pPr>
      <w:r w:rsidRPr="004035A4">
        <w:t>Активи і зобов’язання Ломбарду оцінюються і відображаються в обліку з достатньою мірою обережності з метою уникнення можливості перенесення існуючих фінансових ризиків на наступні звітні періоди. Тому методи оцінки активів та зобов’язань базуються на головних принципах міжнародних стандартів бухгалтерського обліку. Через оцінку активів та зобов’язань надходить інформація про загальну вартість майна Ломбарду, його зобов’язань, про вартість окремих статей балансу. Не підлягає оцінці готівка та стандартні зобов’язання.</w:t>
      </w:r>
    </w:p>
    <w:p w:rsidR="000979B7" w:rsidRPr="004035A4" w:rsidRDefault="000979B7" w:rsidP="00DC2A23">
      <w:pPr>
        <w:autoSpaceDE w:val="0"/>
        <w:autoSpaceDN w:val="0"/>
        <w:adjustRightInd w:val="0"/>
        <w:ind w:firstLine="540"/>
        <w:jc w:val="both"/>
      </w:pPr>
      <w:r w:rsidRPr="004035A4">
        <w:t xml:space="preserve">У фінансових звітах </w:t>
      </w:r>
      <w:r w:rsidR="0071126E" w:rsidRPr="004035A4">
        <w:t>Ломбард</w:t>
      </w:r>
      <w:r w:rsidRPr="004035A4">
        <w:t xml:space="preserve"> використовує такі методи оцінки, як історична (первісна) вартість, ринкова вартість, справедлива вартість, балансова вартість.</w:t>
      </w:r>
    </w:p>
    <w:p w:rsidR="000979B7" w:rsidRPr="004035A4" w:rsidRDefault="000979B7" w:rsidP="00DC2A23">
      <w:pPr>
        <w:ind w:firstLine="540"/>
        <w:jc w:val="both"/>
      </w:pPr>
      <w:r w:rsidRPr="004035A4">
        <w:rPr>
          <w:i/>
        </w:rPr>
        <w:t>Грошові кошти та їх еквіваленти</w:t>
      </w:r>
      <w:r w:rsidRPr="004035A4">
        <w:t xml:space="preserve">. </w:t>
      </w:r>
    </w:p>
    <w:p w:rsidR="000979B7" w:rsidRPr="004035A4" w:rsidRDefault="000979B7" w:rsidP="00DC2A23">
      <w:pPr>
        <w:ind w:firstLine="540"/>
        <w:jc w:val="both"/>
      </w:pPr>
      <w:r w:rsidRPr="004035A4">
        <w:t>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3 місяців, які вільно конвертуються у певні суми грошових коштів і які характеризуються незначним ризиком зміни вартості.</w:t>
      </w:r>
    </w:p>
    <w:p w:rsidR="000979B7" w:rsidRPr="004035A4" w:rsidRDefault="000979B7" w:rsidP="00DC2A23">
      <w:pPr>
        <w:ind w:firstLine="540"/>
        <w:jc w:val="both"/>
      </w:pPr>
      <w:r w:rsidRPr="004035A4">
        <w:rPr>
          <w:i/>
        </w:rPr>
        <w:t>Основні засоби</w:t>
      </w:r>
      <w:r w:rsidR="00F40CE6" w:rsidRPr="004035A4">
        <w:rPr>
          <w:i/>
        </w:rPr>
        <w:t>.</w:t>
      </w:r>
    </w:p>
    <w:p w:rsidR="000979B7" w:rsidRPr="004035A4" w:rsidRDefault="000979B7" w:rsidP="00DC2A23">
      <w:pPr>
        <w:ind w:firstLine="540"/>
        <w:jc w:val="both"/>
      </w:pPr>
      <w:r w:rsidRPr="004035A4">
        <w:t xml:space="preserve">Використовувати при нарахуванні амортизації основних засобів прямолінійний метод: </w:t>
      </w:r>
    </w:p>
    <w:p w:rsidR="000979B7" w:rsidRPr="004035A4" w:rsidRDefault="000A73B4" w:rsidP="00DC2A23">
      <w:pPr>
        <w:ind w:firstLine="540"/>
        <w:jc w:val="both"/>
      </w:pPr>
      <w:r w:rsidRPr="004035A4">
        <w:t>Основні засоби обліковуються за 3 класами: б</w:t>
      </w:r>
      <w:r w:rsidR="000979B7" w:rsidRPr="004035A4">
        <w:t xml:space="preserve">удівлі </w:t>
      </w:r>
      <w:r w:rsidRPr="004035A4">
        <w:t xml:space="preserve">та споруди (капітальний ремонт); </w:t>
      </w:r>
      <w:r w:rsidR="000979B7" w:rsidRPr="004035A4">
        <w:t xml:space="preserve"> </w:t>
      </w:r>
      <w:r w:rsidRPr="004035A4">
        <w:t xml:space="preserve">машини та обладнання; оргтехніка. </w:t>
      </w:r>
      <w:r w:rsidR="000979B7" w:rsidRPr="004035A4">
        <w:t xml:space="preserve">Одиницею обліку вважати окремий об’єкт. </w:t>
      </w:r>
      <w:r w:rsidRPr="004035A4">
        <w:t>Л</w:t>
      </w:r>
      <w:r w:rsidR="000979B7" w:rsidRPr="004035A4">
        <w:t>іквідаційн</w:t>
      </w:r>
      <w:r w:rsidRPr="004035A4">
        <w:t>а</w:t>
      </w:r>
      <w:r w:rsidR="000979B7" w:rsidRPr="004035A4">
        <w:t xml:space="preserve"> вартість основних засобів для цілей амортизації</w:t>
      </w:r>
      <w:r w:rsidRPr="004035A4">
        <w:t xml:space="preserve"> приймається</w:t>
      </w:r>
      <w:r w:rsidR="000979B7" w:rsidRPr="004035A4">
        <w:t xml:space="preserve"> рівною 0грн. </w:t>
      </w:r>
    </w:p>
    <w:p w:rsidR="000979B7" w:rsidRPr="004035A4" w:rsidRDefault="000979B7" w:rsidP="00DC2A23">
      <w:pPr>
        <w:ind w:firstLine="540"/>
        <w:jc w:val="both"/>
      </w:pPr>
      <w:r w:rsidRPr="004035A4">
        <w:t>Вартість об’єкту основних засобів складається з:</w:t>
      </w:r>
    </w:p>
    <w:p w:rsidR="000979B7" w:rsidRPr="004035A4" w:rsidRDefault="000979B7" w:rsidP="00DC2A23">
      <w:pPr>
        <w:ind w:firstLine="540"/>
        <w:jc w:val="both"/>
      </w:pPr>
      <w:r w:rsidRPr="004035A4">
        <w:t>- купівельної вартості з урахуванням сплаченого мита;</w:t>
      </w:r>
    </w:p>
    <w:p w:rsidR="000979B7" w:rsidRPr="004035A4" w:rsidRDefault="000979B7" w:rsidP="00DC2A23">
      <w:pPr>
        <w:ind w:firstLine="540"/>
        <w:jc w:val="both"/>
      </w:pPr>
      <w:r w:rsidRPr="004035A4">
        <w:t>- будь-яких прямих витрат на доставку активу і доведення до стану, необхідного для його використання за призначенням;</w:t>
      </w:r>
    </w:p>
    <w:p w:rsidR="000979B7" w:rsidRPr="004035A4" w:rsidRDefault="000979B7" w:rsidP="00DC2A23">
      <w:pPr>
        <w:ind w:firstLine="540"/>
        <w:jc w:val="both"/>
      </w:pPr>
      <w:r w:rsidRPr="004035A4">
        <w:t>- сум непрямих податків, сплачених у зв’язку з придбанням (створенням) об’єкту основних засобів (якщо вони не повертаються підприємству);</w:t>
      </w:r>
    </w:p>
    <w:p w:rsidR="000979B7" w:rsidRPr="004035A4" w:rsidRDefault="000979B7" w:rsidP="00DC2A23">
      <w:pPr>
        <w:ind w:firstLine="540"/>
        <w:jc w:val="both"/>
      </w:pPr>
      <w:r w:rsidRPr="004035A4">
        <w:t>- первісної оцінки витрат на демонтаж і переміщення активу;</w:t>
      </w:r>
    </w:p>
    <w:p w:rsidR="000979B7" w:rsidRPr="004035A4" w:rsidRDefault="000979B7" w:rsidP="00DC2A23">
      <w:pPr>
        <w:ind w:firstLine="540"/>
        <w:jc w:val="both"/>
      </w:pPr>
      <w:r w:rsidRPr="004035A4">
        <w:t>- матеріалів, оплати праці та інших витрат на основні засоби, що створюються власними силами;</w:t>
      </w:r>
    </w:p>
    <w:p w:rsidR="000979B7" w:rsidRPr="004035A4" w:rsidRDefault="000979B7" w:rsidP="00DC2A23">
      <w:pPr>
        <w:ind w:firstLine="540"/>
        <w:jc w:val="both"/>
      </w:pPr>
      <w:r w:rsidRPr="004035A4">
        <w:t>- витрат, пов’язаних з капітальним ремонтом, функціональним поліпшенням.</w:t>
      </w:r>
    </w:p>
    <w:p w:rsidR="000979B7" w:rsidRPr="004035A4" w:rsidRDefault="000979B7" w:rsidP="00DC2A23">
      <w:pPr>
        <w:ind w:firstLine="540"/>
        <w:jc w:val="both"/>
        <w:rPr>
          <w:i/>
        </w:rPr>
      </w:pPr>
      <w:r w:rsidRPr="004035A4">
        <w:rPr>
          <w:i/>
        </w:rPr>
        <w:t>Нематеріальні активи</w:t>
      </w:r>
      <w:r w:rsidR="00F40CE6" w:rsidRPr="004035A4">
        <w:rPr>
          <w:i/>
        </w:rPr>
        <w:t>.</w:t>
      </w:r>
    </w:p>
    <w:p w:rsidR="000979B7" w:rsidRPr="004035A4" w:rsidRDefault="000A73B4" w:rsidP="00DC2A23">
      <w:pPr>
        <w:ind w:firstLine="540"/>
        <w:jc w:val="both"/>
      </w:pPr>
      <w:r w:rsidRPr="004035A4">
        <w:lastRenderedPageBreak/>
        <w:t>П</w:t>
      </w:r>
      <w:r w:rsidR="000979B7" w:rsidRPr="004035A4">
        <w:t xml:space="preserve">ри нарахуванні амортизації нематеріальних активів </w:t>
      </w:r>
      <w:r w:rsidRPr="004035A4">
        <w:t xml:space="preserve">використовується </w:t>
      </w:r>
      <w:r w:rsidR="000979B7" w:rsidRPr="004035A4">
        <w:t>прямолінійний метод.</w:t>
      </w:r>
      <w:r w:rsidRPr="004035A4">
        <w:t xml:space="preserve"> </w:t>
      </w:r>
      <w:r w:rsidR="000979B7" w:rsidRPr="004035A4">
        <w:t>Термін корисного використання нематеріальних активів визнача</w:t>
      </w:r>
      <w:r w:rsidRPr="004035A4">
        <w:t>ється</w:t>
      </w:r>
      <w:r w:rsidR="000979B7" w:rsidRPr="004035A4">
        <w:t xml:space="preserve"> по кожному нематеріальному активу, який надходить до підприємства, </w:t>
      </w:r>
      <w:r w:rsidRPr="004035A4">
        <w:t xml:space="preserve">й затверджується наказом по підприємству. </w:t>
      </w:r>
      <w:r w:rsidR="000979B7" w:rsidRPr="004035A4">
        <w:t>Одиницею обліку вважа</w:t>
      </w:r>
      <w:r w:rsidRPr="004035A4">
        <w:t>ється</w:t>
      </w:r>
      <w:r w:rsidR="000979B7" w:rsidRPr="004035A4">
        <w:t xml:space="preserve"> окремий об’єкт. </w:t>
      </w:r>
    </w:p>
    <w:p w:rsidR="000979B7" w:rsidRPr="004035A4" w:rsidRDefault="000979B7" w:rsidP="00DC2A23">
      <w:pPr>
        <w:ind w:firstLine="540"/>
        <w:jc w:val="both"/>
      </w:pPr>
      <w:r w:rsidRPr="004035A4">
        <w:rPr>
          <w:i/>
        </w:rPr>
        <w:t>Податки на прибуток</w:t>
      </w:r>
      <w:r w:rsidRPr="004035A4">
        <w:t xml:space="preserve">. </w:t>
      </w:r>
    </w:p>
    <w:p w:rsidR="000979B7" w:rsidRPr="004035A4" w:rsidRDefault="000979B7" w:rsidP="00DC2A23">
      <w:pPr>
        <w:ind w:firstLine="540"/>
        <w:jc w:val="both"/>
      </w:pPr>
      <w:r w:rsidRPr="004035A4">
        <w:t>Податки на прибуток відображені у фінансовій звітності відповідно до законодавства, яке вступило в дію або має бути введено в дію станом на кінець звітного періоду. Витрати з податку на прибуток включають поточний податок і відстрочений податок і визнаються у складі прибутку чи збитку за рік, крім випадків, коли вони відносяться до операцій, визнаних в інших сукупних доходах або безпосередньо у складі капіталу, в тому ж або іншому періоді.</w:t>
      </w:r>
    </w:p>
    <w:p w:rsidR="000979B7" w:rsidRPr="004035A4" w:rsidRDefault="000979B7" w:rsidP="00DC2A23">
      <w:pPr>
        <w:ind w:firstLine="540"/>
        <w:jc w:val="both"/>
      </w:pPr>
      <w:r w:rsidRPr="004035A4">
        <w:t>Поточний податок - це сума, яку, як очікується, необхідно буде сплатити або відшкодувати у податкових органів щодо оподатковуваного прибутку чи збитків поточного та попередніх періодів. Інші податки, крім податку на прибуток, відображені у складі адміністративних та інших операційних витрат.</w:t>
      </w:r>
    </w:p>
    <w:p w:rsidR="000979B7" w:rsidRPr="004035A4" w:rsidRDefault="000979B7" w:rsidP="00DC2A23">
      <w:pPr>
        <w:ind w:firstLine="540"/>
        <w:jc w:val="both"/>
      </w:pPr>
      <w:r w:rsidRPr="004035A4">
        <w:t>Відстрочений податок на прибуток розраховується за методом балансових зобов'язань відносно перенесених із минулих періодів податкових збитків та тимчасових різниць, що виникають між податковою базою активів та зобов'язань та їх балансовою вартістю для цілей фінансової звітності. Відповідно до виключення при первісному визнанні, відстрочені податки не визнаються відносно тимчасових різниць при початковому визнанні активу або зобов'язання в разі операції, що не є об'єднанням компаній, коли така операція при її первісному визнанні не впливає ні на фінансовий, ні на податковий прибуток. Суми відстрочених податків розраховуються за ставками оподаткування, які введені в дію або повинні бути введені в дію станом на кінець звітного періоду і які, як очікується, будуть застосовуватися в періодах, коли буде реалізовано тимчасова різниця або використаний перенесений податковий збиток. Відстрочені податкові активи по тимчасових різницях, що зменшують оподатковувану базу, та перенесені податкові збитки визнаються лише в тій мірі, в якій існує імовірність отримання оподатковуваного прибутку, відносної якої можна буде реалізувати тимчасові різниці.</w:t>
      </w:r>
    </w:p>
    <w:p w:rsidR="000979B7" w:rsidRPr="004035A4" w:rsidRDefault="000979B7" w:rsidP="00DC2A23">
      <w:pPr>
        <w:ind w:firstLine="540"/>
        <w:jc w:val="both"/>
        <w:rPr>
          <w:i/>
        </w:rPr>
      </w:pPr>
      <w:r w:rsidRPr="004035A4">
        <w:rPr>
          <w:i/>
        </w:rPr>
        <w:t>Запаси.</w:t>
      </w:r>
    </w:p>
    <w:p w:rsidR="000979B7" w:rsidRPr="004035A4" w:rsidRDefault="000979B7" w:rsidP="00DC2A23">
      <w:pPr>
        <w:ind w:firstLine="540"/>
        <w:jc w:val="both"/>
      </w:pPr>
      <w:r w:rsidRPr="004035A4">
        <w:t>Оцінка запасів виконується по найменшій з двох величин</w:t>
      </w:r>
      <w:r w:rsidR="00F40CE6" w:rsidRPr="004035A4">
        <w:t>,</w:t>
      </w:r>
      <w:r w:rsidRPr="004035A4">
        <w:t xml:space="preserve"> собівартості і можливій чистій реалізаційній вартості. </w:t>
      </w:r>
    </w:p>
    <w:p w:rsidR="000979B7" w:rsidRPr="004035A4" w:rsidRDefault="000979B7" w:rsidP="00DC2A23">
      <w:pPr>
        <w:ind w:firstLine="540"/>
        <w:jc w:val="both"/>
      </w:pPr>
      <w:r w:rsidRPr="004035A4">
        <w:t>Собівартість запасів включає всі витрати на придбання, переробку та інші витрати необхідні для доставки їх до поточного місцезнаходження та стану.</w:t>
      </w:r>
    </w:p>
    <w:p w:rsidR="000979B7" w:rsidRPr="004035A4" w:rsidRDefault="000979B7" w:rsidP="00DC2A23">
      <w:pPr>
        <w:ind w:firstLine="540"/>
        <w:jc w:val="both"/>
      </w:pPr>
      <w:r w:rsidRPr="004035A4">
        <w:t>Оцінк</w:t>
      </w:r>
      <w:r w:rsidR="00F40CE6" w:rsidRPr="004035A4">
        <w:t>а</w:t>
      </w:r>
      <w:r w:rsidRPr="004035A4">
        <w:t xml:space="preserve"> вибуття запасів (матеріалів, сировини (палива), комп</w:t>
      </w:r>
      <w:r w:rsidR="00F40CE6" w:rsidRPr="004035A4">
        <w:t>лектуючих виробів, МШП, товарів</w:t>
      </w:r>
      <w:r w:rsidRPr="004035A4">
        <w:t>) при відпуску  у виробництво чи при іншому вибутті  визначати за методом собівартості перших за часом надходження запасів (FIFO).</w:t>
      </w:r>
    </w:p>
    <w:p w:rsidR="000979B7" w:rsidRPr="004035A4" w:rsidRDefault="000979B7" w:rsidP="00DC2A23">
      <w:pPr>
        <w:ind w:firstLine="540"/>
        <w:jc w:val="both"/>
      </w:pPr>
      <w:r w:rsidRPr="004035A4">
        <w:t>Малоцінними та швидкозношуваними предметами вважа</w:t>
      </w:r>
      <w:r w:rsidR="00F40CE6" w:rsidRPr="004035A4">
        <w:t>ються</w:t>
      </w:r>
      <w:r w:rsidRPr="004035A4">
        <w:t xml:space="preserve"> матеріальні активи із строком корисного використання менше одного року незалежно від їх вартості. Вартість таких активів виключати із складу активів в першому місяці використання таких  об’єктів.</w:t>
      </w:r>
    </w:p>
    <w:p w:rsidR="000979B7" w:rsidRPr="004035A4" w:rsidRDefault="000979B7" w:rsidP="00DC2A23">
      <w:pPr>
        <w:ind w:firstLine="540"/>
        <w:jc w:val="both"/>
        <w:rPr>
          <w:i/>
        </w:rPr>
      </w:pPr>
      <w:r w:rsidRPr="004035A4">
        <w:rPr>
          <w:i/>
        </w:rPr>
        <w:t>Резерви, забезпечення, зобов’язання, відстрочені податки</w:t>
      </w:r>
      <w:r w:rsidR="00F40CE6" w:rsidRPr="004035A4">
        <w:rPr>
          <w:i/>
        </w:rPr>
        <w:t>.</w:t>
      </w:r>
    </w:p>
    <w:p w:rsidR="000979B7" w:rsidRPr="004035A4" w:rsidRDefault="00F40CE6" w:rsidP="00DC2A23">
      <w:pPr>
        <w:ind w:firstLine="540"/>
        <w:jc w:val="both"/>
      </w:pPr>
      <w:r w:rsidRPr="004035A4">
        <w:t>Створюються р</w:t>
      </w:r>
      <w:r w:rsidR="000979B7" w:rsidRPr="004035A4">
        <w:t>езерви забезпечення майбутніх витрат і платежів пов’язаних з оплатою праці</w:t>
      </w:r>
      <w:r w:rsidRPr="004035A4">
        <w:t>.</w:t>
      </w:r>
      <w:r w:rsidR="000979B7" w:rsidRPr="004035A4">
        <w:t xml:space="preserve"> </w:t>
      </w:r>
      <w:bookmarkStart w:id="4" w:name="59"/>
      <w:bookmarkEnd w:id="4"/>
      <w:r w:rsidR="000979B7" w:rsidRPr="004035A4">
        <w:t>Зобов'язання   визнаються,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 З метою бухгалтерського  обліку  зобов'язання  поділити  на:</w:t>
      </w:r>
      <w:r w:rsidRPr="004035A4">
        <w:t xml:space="preserve"> </w:t>
      </w:r>
      <w:r w:rsidR="000979B7" w:rsidRPr="004035A4">
        <w:t xml:space="preserve"> довгострокові;</w:t>
      </w:r>
      <w:r w:rsidRPr="004035A4">
        <w:t xml:space="preserve"> </w:t>
      </w:r>
      <w:r w:rsidR="000979B7" w:rsidRPr="004035A4">
        <w:t>поточні;</w:t>
      </w:r>
      <w:r w:rsidRPr="004035A4">
        <w:t xml:space="preserve"> </w:t>
      </w:r>
      <w:r w:rsidR="000979B7" w:rsidRPr="004035A4">
        <w:t xml:space="preserve"> забезпечення;</w:t>
      </w:r>
      <w:r w:rsidRPr="004035A4">
        <w:t xml:space="preserve"> </w:t>
      </w:r>
      <w:r w:rsidR="000979B7" w:rsidRPr="004035A4">
        <w:t>доходи майбутніх періодів.</w:t>
      </w:r>
    </w:p>
    <w:p w:rsidR="000979B7" w:rsidRPr="004035A4" w:rsidRDefault="000979B7" w:rsidP="00DC2A23">
      <w:pPr>
        <w:ind w:firstLine="540"/>
        <w:jc w:val="both"/>
      </w:pPr>
      <w:r w:rsidRPr="004035A4">
        <w:t>До короткострокових (поточних) зобов’язань віднос</w:t>
      </w:r>
      <w:r w:rsidR="00F40CE6" w:rsidRPr="004035A4">
        <w:t>яться</w:t>
      </w:r>
      <w:r w:rsidRPr="004035A4">
        <w:t xml:space="preserve"> зобов’язання, що задовольняють будь-який із перелічених критеріїв:</w:t>
      </w:r>
    </w:p>
    <w:p w:rsidR="000979B7" w:rsidRPr="004035A4" w:rsidRDefault="000979B7" w:rsidP="00DC2A23">
      <w:pPr>
        <w:ind w:firstLine="540"/>
        <w:jc w:val="both"/>
      </w:pPr>
      <w:r w:rsidRPr="004035A4">
        <w:t xml:space="preserve">- зобов’язання підлягає погашенню в межах звичайного виробничого циклу організації; </w:t>
      </w:r>
    </w:p>
    <w:p w:rsidR="000979B7" w:rsidRPr="004035A4" w:rsidRDefault="000979B7" w:rsidP="00DC2A23">
      <w:pPr>
        <w:ind w:firstLine="540"/>
        <w:jc w:val="both"/>
      </w:pPr>
      <w:r w:rsidRPr="004035A4">
        <w:t xml:space="preserve">- зобов’язання призначене для продажу і підлягає погашенню протягом 12 місяців після звітної дати; </w:t>
      </w:r>
    </w:p>
    <w:p w:rsidR="000979B7" w:rsidRDefault="000979B7" w:rsidP="00DC2A23">
      <w:pPr>
        <w:ind w:firstLine="540"/>
        <w:jc w:val="both"/>
      </w:pPr>
      <w:r w:rsidRPr="004035A4">
        <w:t>- у підприємства немає безумовного права відкладати погашення зобов’язання протягом якнайменше 12 місяців після звітної дати.</w:t>
      </w:r>
    </w:p>
    <w:p w:rsidR="004D7AFF" w:rsidRPr="00656A92" w:rsidRDefault="004D7AFF" w:rsidP="004D7AFF">
      <w:pPr>
        <w:pStyle w:val="Standard"/>
        <w:widowControl w:val="0"/>
        <w:ind w:firstLine="567"/>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Забезпечення (резерви) визнаються, якщо в результаті події, що відбулася, Товариство має юридичні або можливі зобов'язання, які можуть бути вірогідно оцінені, і існує ймовірність того, що буде необхідний відтік економічних вигід для врегулювання зобов'язань.</w:t>
      </w:r>
      <w:r w:rsidRPr="00991932">
        <w:t xml:space="preserve"> </w:t>
      </w:r>
      <w:r>
        <w:rPr>
          <w:rFonts w:ascii="Times New Roman" w:eastAsia="Times New Roman" w:hAnsi="Times New Roman" w:cs="Times New Roman"/>
          <w:color w:val="00000A"/>
          <w:lang w:val="ru-RU" w:eastAsia="zh-CN"/>
        </w:rPr>
        <w:t>Е</w:t>
      </w:r>
      <w:r w:rsidR="00CB3253" w:rsidRPr="00991932">
        <w:rPr>
          <w:rFonts w:ascii="Times New Roman" w:eastAsia="Times New Roman" w:hAnsi="Times New Roman" w:cs="Times New Roman"/>
          <w:color w:val="00000A"/>
          <w:lang w:eastAsia="zh-CN"/>
        </w:rPr>
        <w:t>кономічна</w:t>
      </w:r>
      <w:r w:rsidRPr="00991932">
        <w:rPr>
          <w:rFonts w:ascii="Times New Roman" w:eastAsia="Times New Roman" w:hAnsi="Times New Roman" w:cs="Times New Roman"/>
          <w:color w:val="00000A"/>
          <w:lang w:eastAsia="zh-CN"/>
        </w:rPr>
        <w:t xml:space="preserve"> суть </w:t>
      </w:r>
      <w:r w:rsidRPr="00991932">
        <w:rPr>
          <w:rFonts w:ascii="Times New Roman" w:eastAsia="Times New Roman" w:hAnsi="Times New Roman" w:cs="Times New Roman"/>
          <w:color w:val="00000A"/>
          <w:lang w:eastAsia="zh-CN"/>
        </w:rPr>
        <w:lastRenderedPageBreak/>
        <w:t>формування резерву полягає в тому, аби рівномірно перерозподілити витрати протягом року й тим самим не спотворити звітність</w:t>
      </w:r>
      <w:r>
        <w:rPr>
          <w:rFonts w:ascii="Times New Roman" w:eastAsia="Times New Roman" w:hAnsi="Times New Roman" w:cs="Times New Roman"/>
          <w:color w:val="00000A"/>
          <w:lang w:val="ru-RU" w:eastAsia="zh-CN"/>
        </w:rPr>
        <w:t>.</w:t>
      </w:r>
      <w:r w:rsidRPr="00656A92">
        <w:t xml:space="preserve"> </w:t>
      </w:r>
      <w:r w:rsidRPr="00656A92">
        <w:rPr>
          <w:rFonts w:ascii="Times New Roman" w:eastAsia="Times New Roman" w:hAnsi="Times New Roman" w:cs="Times New Roman"/>
          <w:color w:val="00000A"/>
          <w:lang w:eastAsia="zh-CN"/>
        </w:rPr>
        <w:t>З метою рівномірного включення до витрат виплат, що передбачаються в майбутньому, підприємства створюють забезпечення майбутніх витрат і платежів</w:t>
      </w:r>
      <w:r>
        <w:rPr>
          <w:rFonts w:ascii="Times New Roman" w:eastAsia="Times New Roman" w:hAnsi="Times New Roman" w:cs="Times New Roman"/>
          <w:color w:val="00000A"/>
          <w:lang w:eastAsia="zh-CN"/>
        </w:rPr>
        <w:t>.</w:t>
      </w:r>
    </w:p>
    <w:p w:rsidR="004D7AFF" w:rsidRPr="007006DD" w:rsidRDefault="004D7AFF" w:rsidP="004D7AFF">
      <w:pPr>
        <w:pStyle w:val="Standard"/>
        <w:widowControl w:val="0"/>
        <w:ind w:firstLine="567"/>
        <w:jc w:val="both"/>
        <w:rPr>
          <w:rFonts w:ascii="Times New Roman" w:eastAsia="Times New Roman" w:hAnsi="Times New Roman" w:cs="Times New Roman"/>
          <w:color w:val="00000A"/>
          <w:lang w:eastAsia="zh-CN"/>
        </w:rPr>
      </w:pPr>
      <w:r>
        <w:rPr>
          <w:rFonts w:ascii="Times New Roman" w:eastAsia="Times New Roman" w:hAnsi="Times New Roman" w:cs="Times New Roman"/>
          <w:color w:val="00000A"/>
          <w:lang w:eastAsia="zh-CN"/>
        </w:rPr>
        <w:t xml:space="preserve">Таким чином, </w:t>
      </w:r>
      <w:r w:rsidRPr="007006DD">
        <w:rPr>
          <w:rFonts w:ascii="Times New Roman" w:eastAsia="Times New Roman" w:hAnsi="Times New Roman" w:cs="Times New Roman"/>
          <w:color w:val="00000A"/>
          <w:lang w:eastAsia="zh-CN"/>
        </w:rPr>
        <w:t>Товариство формує наступні забезпечення й резерви:</w:t>
      </w:r>
    </w:p>
    <w:p w:rsidR="004D7AFF" w:rsidRPr="007006DD" w:rsidRDefault="004D7AFF" w:rsidP="004D7AFF">
      <w:pPr>
        <w:pStyle w:val="Standard"/>
        <w:numPr>
          <w:ilvl w:val="0"/>
          <w:numId w:val="15"/>
        </w:numPr>
        <w:ind w:left="0" w:firstLine="567"/>
        <w:jc w:val="both"/>
        <w:rPr>
          <w:rFonts w:ascii="Times New Roman" w:eastAsia="Times New Roman" w:hAnsi="Times New Roman" w:cs="Times New Roman"/>
          <w:color w:val="00000A"/>
          <w:lang w:eastAsia="zh-CN"/>
        </w:rPr>
      </w:pPr>
      <w:r w:rsidRPr="007006DD">
        <w:rPr>
          <w:rFonts w:ascii="Times New Roman" w:eastAsia="Times New Roman" w:hAnsi="Times New Roman" w:cs="Times New Roman"/>
          <w:color w:val="00000A"/>
          <w:lang w:eastAsia="zh-CN"/>
        </w:rPr>
        <w:t>Забезпечення витрат відпусток та нарахувань визначають як добуток фактично нарахованої суми зарплати працівникам за місяць на відсоток резервування (Крезерв). Аналогічно визначається сума забезпечення обов'язкових відрахувань  із забезпечення оплат відпусток на загальнообов'язкове державне соціальне страхування – ЄСВ.</w:t>
      </w:r>
    </w:p>
    <w:p w:rsidR="004D7AFF" w:rsidRPr="007006DD" w:rsidRDefault="004D7AFF" w:rsidP="004D7AFF">
      <w:pPr>
        <w:pStyle w:val="Standard"/>
        <w:widowControl w:val="0"/>
        <w:numPr>
          <w:ilvl w:val="0"/>
          <w:numId w:val="15"/>
        </w:numPr>
        <w:ind w:left="0" w:firstLine="567"/>
        <w:jc w:val="both"/>
        <w:rPr>
          <w:rFonts w:ascii="Times New Roman" w:eastAsia="Times New Roman" w:hAnsi="Times New Roman" w:cs="Times New Roman"/>
          <w:color w:val="00000A"/>
          <w:lang w:eastAsia="zh-CN"/>
        </w:rPr>
      </w:pPr>
      <w:r w:rsidRPr="007006DD">
        <w:rPr>
          <w:rFonts w:ascii="Times New Roman" w:eastAsia="Times New Roman" w:hAnsi="Times New Roman" w:cs="Times New Roman"/>
          <w:color w:val="00000A"/>
          <w:lang w:eastAsia="zh-CN"/>
        </w:rPr>
        <w:t>Резерв сумнівних боргів</w:t>
      </w:r>
      <w:r w:rsidRPr="007006DD">
        <w:rPr>
          <w:rFonts w:ascii="Times New Roman" w:hAnsi="Times New Roman" w:cs="Times New Roman"/>
        </w:rPr>
        <w:t xml:space="preserve"> визначається на підставі аналізу платоспроможності окремих дебіторів</w:t>
      </w:r>
      <w:r w:rsidRPr="007006DD">
        <w:rPr>
          <w:rFonts w:ascii="Times New Roman" w:eastAsia="Times New Roman" w:hAnsi="Times New Roman" w:cs="Times New Roman"/>
          <w:color w:val="00000A"/>
          <w:lang w:eastAsia="zh-CN"/>
        </w:rPr>
        <w:t xml:space="preserve">. </w:t>
      </w:r>
    </w:p>
    <w:p w:rsidR="004D7AFF" w:rsidRPr="004D7AFF" w:rsidRDefault="004D7AFF" w:rsidP="004D7AFF">
      <w:pPr>
        <w:pStyle w:val="Standard"/>
        <w:widowControl w:val="0"/>
        <w:numPr>
          <w:ilvl w:val="0"/>
          <w:numId w:val="15"/>
        </w:numPr>
        <w:ind w:left="0" w:firstLine="567"/>
        <w:jc w:val="both"/>
        <w:rPr>
          <w:rFonts w:ascii="Times New Roman" w:eastAsia="Times New Roman" w:hAnsi="Times New Roman" w:cs="Times New Roman"/>
          <w:b/>
          <w:bCs/>
          <w:color w:val="00000A"/>
          <w:lang w:val="ru-RU" w:eastAsia="zh-CN"/>
        </w:rPr>
      </w:pPr>
      <w:r w:rsidRPr="007006DD">
        <w:rPr>
          <w:rFonts w:ascii="Times New Roman" w:eastAsia="Times New Roman" w:hAnsi="Times New Roman" w:cs="Times New Roman"/>
          <w:color w:val="00000A"/>
          <w:lang w:eastAsia="zh-CN"/>
        </w:rPr>
        <w:t>Забезпечення інших витрат політикою не передбачено</w:t>
      </w:r>
      <w:r>
        <w:rPr>
          <w:rFonts w:ascii="Times New Roman" w:eastAsia="Times New Roman" w:hAnsi="Times New Roman" w:cs="Times New Roman"/>
          <w:color w:val="00000A"/>
          <w:lang w:eastAsia="zh-CN"/>
        </w:rPr>
        <w:t>.</w:t>
      </w:r>
    </w:p>
    <w:p w:rsidR="004D7AFF" w:rsidRDefault="004D7AFF" w:rsidP="004D7AFF">
      <w:pPr>
        <w:pStyle w:val="Standard"/>
        <w:widowControl w:val="0"/>
        <w:ind w:left="567"/>
        <w:jc w:val="both"/>
        <w:rPr>
          <w:rFonts w:ascii="Times New Roman" w:eastAsia="Times New Roman" w:hAnsi="Times New Roman" w:cs="Times New Roman"/>
          <w:color w:val="00000A"/>
          <w:lang w:val="ru-RU" w:eastAsia="zh-CN"/>
        </w:rPr>
      </w:pPr>
    </w:p>
    <w:p w:rsidR="004D7AFF" w:rsidRPr="004D7AFF" w:rsidRDefault="004D7AFF" w:rsidP="004D7AFF">
      <w:pPr>
        <w:pStyle w:val="12"/>
        <w:shd w:val="clear" w:color="auto" w:fill="auto"/>
        <w:tabs>
          <w:tab w:val="left" w:pos="0"/>
        </w:tabs>
        <w:spacing w:before="0" w:after="0" w:line="240" w:lineRule="auto"/>
        <w:ind w:firstLine="709"/>
        <w:rPr>
          <w:i/>
          <w:sz w:val="24"/>
          <w:szCs w:val="24"/>
          <w:lang w:val="uk-UA"/>
        </w:rPr>
      </w:pPr>
      <w:r w:rsidRPr="004D7AFF">
        <w:rPr>
          <w:i/>
          <w:sz w:val="24"/>
          <w:szCs w:val="24"/>
          <w:lang w:val="uk-UA"/>
        </w:rPr>
        <w:t>Знецінення активів</w:t>
      </w:r>
    </w:p>
    <w:p w:rsidR="004D7AFF" w:rsidRPr="00A62950" w:rsidRDefault="004D7AFF" w:rsidP="004D7AFF">
      <w:pPr>
        <w:ind w:firstLine="709"/>
        <w:contextualSpacing/>
        <w:jc w:val="both"/>
        <w:rPr>
          <w:szCs w:val="24"/>
        </w:rPr>
      </w:pPr>
      <w:r w:rsidRPr="00A62950">
        <w:rPr>
          <w:szCs w:val="24"/>
        </w:rPr>
        <w:t>Товариство відображає необоротні активи у фінансовій звітності з урахуванням знецінення, яке обліковується відповідно до МСБО 36 «Зменшення корисності активів».</w:t>
      </w:r>
    </w:p>
    <w:p w:rsidR="004D7AFF" w:rsidRPr="00A62950" w:rsidRDefault="004D7AFF" w:rsidP="004D7AFF">
      <w:pPr>
        <w:ind w:firstLine="709"/>
        <w:contextualSpacing/>
        <w:jc w:val="both"/>
        <w:rPr>
          <w:szCs w:val="24"/>
        </w:rPr>
      </w:pPr>
      <w:r w:rsidRPr="00A62950">
        <w:rPr>
          <w:szCs w:val="24"/>
        </w:rPr>
        <w:t xml:space="preserve">На дату складання фінансової звітності Товариство </w:t>
      </w:r>
      <w:r>
        <w:rPr>
          <w:szCs w:val="24"/>
        </w:rPr>
        <w:t>розглядає</w:t>
      </w:r>
      <w:r w:rsidRPr="00A62950">
        <w:rPr>
          <w:szCs w:val="24"/>
        </w:rPr>
        <w:t xml:space="preserve"> наявність ознак знецінення активів:</w:t>
      </w:r>
    </w:p>
    <w:p w:rsidR="004D7AFF" w:rsidRPr="00A62950" w:rsidRDefault="004D7AFF" w:rsidP="004D7AFF">
      <w:pPr>
        <w:ind w:firstLine="709"/>
        <w:contextualSpacing/>
        <w:jc w:val="both"/>
        <w:rPr>
          <w:szCs w:val="24"/>
        </w:rPr>
      </w:pPr>
      <w:r w:rsidRPr="00A62950">
        <w:rPr>
          <w:szCs w:val="24"/>
        </w:rPr>
        <w:t>•</w:t>
      </w:r>
      <w:r w:rsidRPr="00A62950">
        <w:rPr>
          <w:szCs w:val="24"/>
        </w:rPr>
        <w:tab/>
        <w:t xml:space="preserve"> зменшення ринкової вартості активу протягом звітного періоду на істотну величину, ніж очікувалося;</w:t>
      </w:r>
    </w:p>
    <w:p w:rsidR="004D7AFF" w:rsidRPr="00A62950" w:rsidRDefault="004D7AFF" w:rsidP="004D7AFF">
      <w:pPr>
        <w:ind w:firstLine="709"/>
        <w:contextualSpacing/>
        <w:jc w:val="both"/>
        <w:rPr>
          <w:szCs w:val="24"/>
        </w:rPr>
      </w:pPr>
      <w:r w:rsidRPr="00A62950">
        <w:rPr>
          <w:szCs w:val="24"/>
        </w:rPr>
        <w:t>•</w:t>
      </w:r>
      <w:r w:rsidRPr="00A62950">
        <w:rPr>
          <w:szCs w:val="24"/>
        </w:rPr>
        <w:tab/>
        <w:t xml:space="preserve"> старіння або фізичне пошкодження активу;</w:t>
      </w:r>
    </w:p>
    <w:p w:rsidR="004D7AFF" w:rsidRPr="00A62950" w:rsidRDefault="004D7AFF" w:rsidP="004D7AFF">
      <w:pPr>
        <w:ind w:firstLine="709"/>
        <w:contextualSpacing/>
        <w:jc w:val="both"/>
        <w:rPr>
          <w:szCs w:val="24"/>
        </w:rPr>
      </w:pPr>
      <w:r w:rsidRPr="00A62950">
        <w:rPr>
          <w:szCs w:val="24"/>
        </w:rPr>
        <w:t>•</w:t>
      </w:r>
      <w:r w:rsidRPr="00A62950">
        <w:rPr>
          <w:szCs w:val="24"/>
        </w:rPr>
        <w:tab/>
        <w:t xml:space="preserve"> істотні негативні зміни в ринковому, економічному або правовому середовищі, у якому діє Товариство, що сталося протягом звітного періоду або очікувані найближчим часом;</w:t>
      </w:r>
    </w:p>
    <w:p w:rsidR="004D7AFF" w:rsidRPr="00A62950" w:rsidRDefault="004D7AFF" w:rsidP="004D7AFF">
      <w:pPr>
        <w:ind w:firstLine="709"/>
        <w:contextualSpacing/>
        <w:jc w:val="both"/>
        <w:rPr>
          <w:szCs w:val="24"/>
        </w:rPr>
      </w:pPr>
      <w:r w:rsidRPr="00A62950">
        <w:rPr>
          <w:szCs w:val="24"/>
        </w:rPr>
        <w:t>•</w:t>
      </w:r>
      <w:r w:rsidRPr="00A62950">
        <w:rPr>
          <w:szCs w:val="24"/>
        </w:rPr>
        <w:tab/>
        <w:t xml:space="preserve"> збільшення протягом звітного періоду ринкових ставок відсотка, яке може суттєво зменшити суму очікуваного відшкодування активу;</w:t>
      </w:r>
    </w:p>
    <w:p w:rsidR="004D7AFF" w:rsidRPr="00A62950" w:rsidRDefault="004D7AFF" w:rsidP="004D7AFF">
      <w:pPr>
        <w:ind w:firstLine="709"/>
        <w:contextualSpacing/>
        <w:jc w:val="both"/>
        <w:rPr>
          <w:szCs w:val="24"/>
        </w:rPr>
      </w:pPr>
      <w:r w:rsidRPr="00A62950">
        <w:rPr>
          <w:szCs w:val="24"/>
        </w:rPr>
        <w:t>•</w:t>
      </w:r>
      <w:r w:rsidRPr="00A62950">
        <w:rPr>
          <w:szCs w:val="24"/>
        </w:rPr>
        <w:tab/>
        <w:t xml:space="preserve"> перевищення балансової вартості чистих активів над їх ринковою вартістю;</w:t>
      </w:r>
    </w:p>
    <w:p w:rsidR="004D7AFF" w:rsidRPr="00A62950" w:rsidRDefault="004D7AFF" w:rsidP="004D7AFF">
      <w:pPr>
        <w:ind w:firstLine="709"/>
        <w:contextualSpacing/>
        <w:jc w:val="both"/>
        <w:rPr>
          <w:szCs w:val="24"/>
        </w:rPr>
      </w:pPr>
      <w:r w:rsidRPr="00A62950">
        <w:rPr>
          <w:szCs w:val="24"/>
        </w:rPr>
        <w:t>•</w:t>
      </w:r>
      <w:r w:rsidRPr="00A62950">
        <w:rPr>
          <w:szCs w:val="24"/>
        </w:rPr>
        <w:tab/>
        <w:t xml:space="preserve"> суттєві зміни способу використання активу протягом звітного періоду або такі очікувані зміни в наступному періоді, які негативно впливають на діяльність Товариства.</w:t>
      </w:r>
    </w:p>
    <w:p w:rsidR="004D7AFF" w:rsidRPr="00A62950" w:rsidRDefault="004D7AFF" w:rsidP="004D7AFF">
      <w:pPr>
        <w:ind w:firstLine="709"/>
        <w:contextualSpacing/>
        <w:jc w:val="both"/>
        <w:rPr>
          <w:szCs w:val="24"/>
        </w:rPr>
      </w:pPr>
      <w:r w:rsidRPr="00A62950">
        <w:rPr>
          <w:szCs w:val="24"/>
        </w:rPr>
        <w:t>При наявності ознак знецінення активів, Товариство визначає суму очікуваного відшкодування активу. Сума очікуваного відшкодування активу - це найбільша з двох оцінок: справедливою вартістю за мінусом витрат на продаж та цінності використання. Якщо сума очікуваного відшкодування менше балансової вартості активу, різниця визнається збитками від зменшення у звіті про фінансові результати з одночасним зменшенням балансової вартості активу до суми очікуваного відшкодування.</w:t>
      </w:r>
    </w:p>
    <w:p w:rsidR="004D7AFF" w:rsidRPr="00A62950" w:rsidRDefault="004D7AFF" w:rsidP="004D7AFF">
      <w:pPr>
        <w:ind w:firstLine="709"/>
        <w:contextualSpacing/>
        <w:jc w:val="both"/>
        <w:rPr>
          <w:szCs w:val="24"/>
        </w:rPr>
      </w:pPr>
      <w:r w:rsidRPr="00A62950">
        <w:rPr>
          <w:szCs w:val="24"/>
        </w:rPr>
        <w:t>У разі відсутності ознак знецінення одиниці в цілому у звітності не відображається.</w:t>
      </w:r>
    </w:p>
    <w:p w:rsidR="004D7AFF" w:rsidRDefault="004D7AFF" w:rsidP="004D7AFF">
      <w:pPr>
        <w:pStyle w:val="12"/>
        <w:shd w:val="clear" w:color="auto" w:fill="auto"/>
        <w:tabs>
          <w:tab w:val="left" w:pos="0"/>
        </w:tabs>
        <w:spacing w:before="0" w:after="0" w:line="240" w:lineRule="auto"/>
        <w:ind w:firstLine="567"/>
        <w:jc w:val="both"/>
        <w:rPr>
          <w:sz w:val="14"/>
          <w:szCs w:val="24"/>
          <w:lang w:val="ru-RU"/>
        </w:rPr>
      </w:pPr>
    </w:p>
    <w:p w:rsidR="00FB4491" w:rsidRPr="00FB4491" w:rsidRDefault="00FB4491" w:rsidP="00FB4491">
      <w:pPr>
        <w:pStyle w:val="Standard"/>
        <w:widowControl w:val="0"/>
        <w:ind w:firstLine="567"/>
        <w:rPr>
          <w:rFonts w:ascii="Times New Roman" w:eastAsia="Times New Roman" w:hAnsi="Times New Roman" w:cs="Times New Roman"/>
          <w:bCs/>
          <w:i/>
          <w:lang w:eastAsia="zh-CN"/>
        </w:rPr>
      </w:pPr>
      <w:r w:rsidRPr="00FB4491">
        <w:rPr>
          <w:rFonts w:ascii="Times New Roman" w:eastAsia="Times New Roman" w:hAnsi="Times New Roman" w:cs="Times New Roman"/>
          <w:bCs/>
          <w:i/>
          <w:lang w:eastAsia="zh-CN"/>
        </w:rPr>
        <w:t>Розкриття інформації щодо використання справедливої вартості та використання облікових оцінок</w:t>
      </w:r>
    </w:p>
    <w:p w:rsidR="00FB4491" w:rsidRPr="00ED3EF1" w:rsidRDefault="00FB4491" w:rsidP="00FB4491">
      <w:pPr>
        <w:pStyle w:val="Default"/>
        <w:ind w:firstLine="567"/>
        <w:contextualSpacing/>
        <w:jc w:val="both"/>
        <w:rPr>
          <w:rStyle w:val="FontStyle20"/>
          <w:b/>
          <w:color w:val="auto"/>
          <w:sz w:val="24"/>
          <w:lang w:val="uk-UA"/>
        </w:rPr>
      </w:pPr>
      <w:r w:rsidRPr="00ED3EF1">
        <w:rPr>
          <w:rStyle w:val="FontStyle20"/>
          <w:sz w:val="24"/>
          <w:lang w:val="uk-UA"/>
        </w:rPr>
        <w:t>Методики оцінювання та вхідні дані, використані для складання оцінок за справедливою вартістю:</w:t>
      </w:r>
    </w:p>
    <w:p w:rsidR="00FB4491" w:rsidRPr="00ED3EF1" w:rsidRDefault="00FB4491" w:rsidP="00FB4491">
      <w:pPr>
        <w:shd w:val="clear" w:color="auto" w:fill="FFFFFF"/>
        <w:adjustRightInd w:val="0"/>
        <w:ind w:firstLine="567"/>
        <w:contextualSpacing/>
        <w:jc w:val="both"/>
        <w:rPr>
          <w:rStyle w:val="FontStyle20"/>
          <w:sz w:val="24"/>
          <w:szCs w:val="24"/>
        </w:rPr>
      </w:pPr>
      <w:r w:rsidRPr="00ED3EF1">
        <w:rPr>
          <w:rStyle w:val="FontStyle20"/>
          <w:sz w:val="24"/>
          <w:szCs w:val="24"/>
        </w:rPr>
        <w:t>Товариство здійснює виключно безперервні оцінки справедливої вартості активів та зобов’язань, тобто такі оцінки, які вимагаються МСФЗ 9  та МСФЗ 13 у звіті про фінансовий стан на кінець  звітного періоду.</w:t>
      </w:r>
    </w:p>
    <w:tbl>
      <w:tblPr>
        <w:tblW w:w="9923" w:type="dxa"/>
        <w:tblInd w:w="108" w:type="dxa"/>
        <w:tblLayout w:type="fixed"/>
        <w:tblLook w:val="04A0"/>
      </w:tblPr>
      <w:tblGrid>
        <w:gridCol w:w="2269"/>
        <w:gridCol w:w="4233"/>
        <w:gridCol w:w="1436"/>
        <w:gridCol w:w="1985"/>
      </w:tblGrid>
      <w:tr w:rsidR="00FB4491" w:rsidRPr="00ED3EF1" w:rsidTr="00FB4491">
        <w:tc>
          <w:tcPr>
            <w:tcW w:w="2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B4491" w:rsidRPr="00FB4491" w:rsidRDefault="00FB4491" w:rsidP="007E7EBF">
            <w:pPr>
              <w:contextualSpacing/>
              <w:rPr>
                <w:sz w:val="20"/>
              </w:rPr>
            </w:pPr>
            <w:r w:rsidRPr="00FB4491">
              <w:rPr>
                <w:sz w:val="20"/>
              </w:rPr>
              <w:t>Класи активів та зобов’язань, оцінених</w:t>
            </w:r>
          </w:p>
          <w:p w:rsidR="00FB4491" w:rsidRPr="00FB4491" w:rsidRDefault="00FB4491" w:rsidP="007E7EBF">
            <w:pPr>
              <w:contextualSpacing/>
              <w:rPr>
                <w:sz w:val="20"/>
              </w:rPr>
            </w:pPr>
            <w:r w:rsidRPr="00FB4491">
              <w:rPr>
                <w:sz w:val="20"/>
              </w:rPr>
              <w:t>за справедливою</w:t>
            </w:r>
          </w:p>
          <w:p w:rsidR="00FB4491" w:rsidRPr="00FB4491" w:rsidRDefault="00FB4491" w:rsidP="007E7EBF">
            <w:pPr>
              <w:contextualSpacing/>
              <w:rPr>
                <w:sz w:val="20"/>
              </w:rPr>
            </w:pPr>
            <w:r w:rsidRPr="00FB4491">
              <w:rPr>
                <w:sz w:val="20"/>
              </w:rPr>
              <w:t>вартістю</w:t>
            </w:r>
          </w:p>
        </w:tc>
        <w:tc>
          <w:tcPr>
            <w:tcW w:w="42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B4491" w:rsidRPr="00FB4491" w:rsidRDefault="00FB4491" w:rsidP="007E7EBF">
            <w:pPr>
              <w:contextualSpacing/>
              <w:rPr>
                <w:sz w:val="20"/>
              </w:rPr>
            </w:pPr>
            <w:r w:rsidRPr="00FB4491">
              <w:rPr>
                <w:sz w:val="20"/>
              </w:rPr>
              <w:t>Методики оцінювання</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B4491" w:rsidRPr="00FB4491" w:rsidRDefault="00FB4491" w:rsidP="007E7EBF">
            <w:pPr>
              <w:contextualSpacing/>
              <w:rPr>
                <w:sz w:val="20"/>
              </w:rPr>
            </w:pPr>
            <w:r w:rsidRPr="00FB4491">
              <w:rPr>
                <w:sz w:val="20"/>
              </w:rPr>
              <w:t>Метод оцінки (ринковий, дохідний, витратний)</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FB4491" w:rsidRPr="00FB4491" w:rsidRDefault="00FB4491" w:rsidP="007E7EBF">
            <w:pPr>
              <w:contextualSpacing/>
              <w:rPr>
                <w:sz w:val="20"/>
              </w:rPr>
            </w:pPr>
            <w:r w:rsidRPr="00FB4491">
              <w:rPr>
                <w:sz w:val="20"/>
              </w:rPr>
              <w:t>Вихідні дані</w:t>
            </w:r>
          </w:p>
        </w:tc>
      </w:tr>
      <w:tr w:rsidR="00FB4491" w:rsidRPr="00ED3EF1" w:rsidTr="00FB449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Грошові кошти та їх</w:t>
            </w:r>
          </w:p>
          <w:p w:rsidR="00FB4491" w:rsidRPr="00FB4491" w:rsidRDefault="001776E9" w:rsidP="007E7EBF">
            <w:pPr>
              <w:contextualSpacing/>
              <w:jc w:val="both"/>
              <w:rPr>
                <w:sz w:val="20"/>
              </w:rPr>
            </w:pPr>
            <w:r w:rsidRPr="00FB4491">
              <w:rPr>
                <w:sz w:val="20"/>
              </w:rPr>
              <w:t>Е</w:t>
            </w:r>
            <w:r w:rsidR="00FB4491" w:rsidRPr="00FB4491">
              <w:rPr>
                <w:sz w:val="20"/>
              </w:rPr>
              <w:t>квіваленти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Первісна та подальша оцінка грошових коштів та їх еквівалентів здійснюється за справедливою вартістю, яка дорівнює їхній  номінальній вартості</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Ринковий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Офіційні курси НБУ</w:t>
            </w:r>
          </w:p>
        </w:tc>
      </w:tr>
      <w:tr w:rsidR="00FB4491" w:rsidRPr="00ED3EF1" w:rsidTr="00FB449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Депозити (крім</w:t>
            </w:r>
          </w:p>
          <w:p w:rsidR="00FB4491" w:rsidRPr="00FB4491" w:rsidRDefault="00FB4491" w:rsidP="007E7EBF">
            <w:pPr>
              <w:contextualSpacing/>
              <w:jc w:val="both"/>
              <w:rPr>
                <w:sz w:val="20"/>
              </w:rPr>
            </w:pPr>
            <w:r w:rsidRPr="00FB4491">
              <w:rPr>
                <w:sz w:val="20"/>
              </w:rPr>
              <w:t>депозитів до</w:t>
            </w:r>
          </w:p>
          <w:p w:rsidR="00FB4491" w:rsidRPr="00FB4491" w:rsidRDefault="00FB4491" w:rsidP="007E7EBF">
            <w:pPr>
              <w:contextualSpacing/>
              <w:jc w:val="both"/>
              <w:rPr>
                <w:sz w:val="20"/>
              </w:rPr>
            </w:pPr>
            <w:r w:rsidRPr="00FB4491">
              <w:rPr>
                <w:sz w:val="20"/>
              </w:rPr>
              <w:t>запитання)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Первісна оцінка депозиту здійснюється за його</w:t>
            </w:r>
          </w:p>
          <w:p w:rsidR="00FB4491" w:rsidRPr="00FB4491" w:rsidRDefault="00FB4491" w:rsidP="007E7EBF">
            <w:pPr>
              <w:contextualSpacing/>
              <w:jc w:val="both"/>
              <w:rPr>
                <w:sz w:val="20"/>
              </w:rPr>
            </w:pPr>
            <w:r w:rsidRPr="00FB4491">
              <w:rPr>
                <w:sz w:val="20"/>
              </w:rPr>
              <w:t>справедливою вартістю, яка зазвичай дорівнює</w:t>
            </w:r>
          </w:p>
          <w:p w:rsidR="00FB4491" w:rsidRPr="00FB4491" w:rsidRDefault="00FB4491" w:rsidP="007E7EBF">
            <w:pPr>
              <w:contextualSpacing/>
              <w:jc w:val="both"/>
              <w:rPr>
                <w:sz w:val="20"/>
              </w:rPr>
            </w:pPr>
            <w:r w:rsidRPr="00FB4491">
              <w:rPr>
                <w:sz w:val="20"/>
              </w:rPr>
              <w:t xml:space="preserve">його номінальній вартості. Подальша оцінка депозитів у національній валюті здійснюється за справедливою вартістю очікуваних </w:t>
            </w:r>
            <w:r w:rsidRPr="00FB4491">
              <w:rPr>
                <w:sz w:val="20"/>
              </w:rPr>
              <w:lastRenderedPageBreak/>
              <w:t>грошових потоків</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lastRenderedPageBreak/>
              <w:t>Дохідний (дисконтування грошових потоків)</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Ставки за депозитами, ефективні ставки за депозитними договорами</w:t>
            </w:r>
          </w:p>
        </w:tc>
      </w:tr>
      <w:tr w:rsidR="00FB4491" w:rsidRPr="00ED3EF1" w:rsidTr="00FB449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lastRenderedPageBreak/>
              <w:t>Боргові цінні папери</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Первісна оцінка боргових цінних паперів як фінансових активів здійснюється за справедливою вартістю, яка зазвичай дорівнює ціні операції, у ході якої був отриманий актив. Подальша оцінка боргових цінних паперів здійснюється за справедливою вартістю</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Ринковий, 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Офіційні біржові курси організаторів торгів на дату оцінки, котирування аналогічних боргових цінних паперів, дисконтовані потоки грошових коштів</w:t>
            </w:r>
          </w:p>
        </w:tc>
      </w:tr>
      <w:tr w:rsidR="00FB4491" w:rsidRPr="00ED3EF1" w:rsidTr="00FB449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Інструменти капіталу</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Первісна оцінка інструментів капіталу здійснюється за їх справедливою вартістю, яка зазвичай дорівнює ціні операції, у ході якої був отриманий актив. Подальша оцінка інструментів капіталу здійснюється за справедливою вартістю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Ринковий, 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Офіційні біржові курси організаторів торгів на дату оцінки, за відсутності визначеного біржового курсу на дату оцінки, використовується остання балансова</w:t>
            </w:r>
          </w:p>
          <w:p w:rsidR="00FB4491" w:rsidRPr="00FB4491" w:rsidRDefault="00FB4491" w:rsidP="007E7EBF">
            <w:pPr>
              <w:contextualSpacing/>
              <w:jc w:val="both"/>
              <w:rPr>
                <w:sz w:val="20"/>
              </w:rPr>
            </w:pPr>
            <w:r w:rsidRPr="00FB4491">
              <w:rPr>
                <w:sz w:val="20"/>
              </w:rPr>
              <w:t>вартість, ціни закриття біржового торгового дня</w:t>
            </w:r>
          </w:p>
        </w:tc>
      </w:tr>
      <w:tr w:rsidR="00FB4491" w:rsidRPr="00ED3EF1" w:rsidTr="00FB449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Дебіторська заборгованість</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Первісна та 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Дохідний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Контрактні умови, ймовірність погашення, очікувані</w:t>
            </w:r>
          </w:p>
          <w:p w:rsidR="00FB4491" w:rsidRPr="00FB4491" w:rsidRDefault="00FB4491" w:rsidP="007E7EBF">
            <w:pPr>
              <w:contextualSpacing/>
              <w:jc w:val="both"/>
              <w:rPr>
                <w:sz w:val="20"/>
              </w:rPr>
            </w:pPr>
            <w:r w:rsidRPr="00FB4491">
              <w:rPr>
                <w:sz w:val="20"/>
              </w:rPr>
              <w:t>вхідні грошові потоки</w:t>
            </w:r>
          </w:p>
        </w:tc>
      </w:tr>
      <w:tr w:rsidR="00FB4491" w:rsidRPr="00ED3EF1" w:rsidTr="00FB4491">
        <w:tc>
          <w:tcPr>
            <w:tcW w:w="22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Поточні зобов’язання</w:t>
            </w:r>
          </w:p>
        </w:tc>
        <w:tc>
          <w:tcPr>
            <w:tcW w:w="42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Первісна та подальша оцінка поточних зобов’язань</w:t>
            </w:r>
          </w:p>
          <w:p w:rsidR="00FB4491" w:rsidRPr="00FB4491" w:rsidRDefault="00FB4491" w:rsidP="007E7EBF">
            <w:pPr>
              <w:contextualSpacing/>
              <w:jc w:val="both"/>
              <w:rPr>
                <w:sz w:val="20"/>
              </w:rPr>
            </w:pPr>
            <w:r w:rsidRPr="00FB4491">
              <w:rPr>
                <w:sz w:val="20"/>
              </w:rPr>
              <w:t>здійснюється за вартістю погашення</w:t>
            </w:r>
          </w:p>
        </w:tc>
        <w:tc>
          <w:tcPr>
            <w:tcW w:w="143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Витратний</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4491" w:rsidRPr="00FB4491" w:rsidRDefault="00FB4491" w:rsidP="007E7EBF">
            <w:pPr>
              <w:contextualSpacing/>
              <w:jc w:val="both"/>
              <w:rPr>
                <w:sz w:val="20"/>
              </w:rPr>
            </w:pPr>
            <w:r w:rsidRPr="00FB4491">
              <w:rPr>
                <w:sz w:val="20"/>
              </w:rPr>
              <w:t>Контрактні умови, ймовірність погашення, очікувані</w:t>
            </w:r>
          </w:p>
          <w:p w:rsidR="00FB4491" w:rsidRPr="00FB4491" w:rsidRDefault="00FB4491" w:rsidP="007E7EBF">
            <w:pPr>
              <w:contextualSpacing/>
              <w:jc w:val="both"/>
              <w:rPr>
                <w:sz w:val="20"/>
              </w:rPr>
            </w:pPr>
            <w:r w:rsidRPr="00FB4491">
              <w:rPr>
                <w:sz w:val="20"/>
              </w:rPr>
              <w:t>вихідні грошові потоки</w:t>
            </w:r>
          </w:p>
        </w:tc>
      </w:tr>
    </w:tbl>
    <w:p w:rsidR="00FB4491" w:rsidRPr="00ED3EF1" w:rsidRDefault="00FB4491" w:rsidP="00FB4491">
      <w:pPr>
        <w:pStyle w:val="12"/>
        <w:shd w:val="clear" w:color="auto" w:fill="auto"/>
        <w:spacing w:before="0" w:after="0" w:line="240" w:lineRule="auto"/>
        <w:ind w:firstLine="567"/>
        <w:contextualSpacing/>
        <w:jc w:val="both"/>
        <w:rPr>
          <w:sz w:val="14"/>
          <w:szCs w:val="24"/>
          <w:lang w:val="uk-UA"/>
        </w:rPr>
      </w:pPr>
    </w:p>
    <w:p w:rsidR="000979B7" w:rsidRPr="004035A4" w:rsidRDefault="000979B7" w:rsidP="00DC2A23">
      <w:pPr>
        <w:ind w:firstLine="540"/>
        <w:jc w:val="both"/>
        <w:rPr>
          <w:i/>
        </w:rPr>
      </w:pPr>
      <w:r w:rsidRPr="004035A4">
        <w:rPr>
          <w:i/>
        </w:rPr>
        <w:t>Доходи і витрати</w:t>
      </w:r>
      <w:r w:rsidR="00F86468" w:rsidRPr="004035A4">
        <w:rPr>
          <w:i/>
        </w:rPr>
        <w:t>.</w:t>
      </w:r>
    </w:p>
    <w:p w:rsidR="000979B7" w:rsidRPr="004035A4" w:rsidRDefault="000979B7" w:rsidP="00DC2A23">
      <w:pPr>
        <w:ind w:firstLine="540"/>
        <w:jc w:val="both"/>
      </w:pPr>
      <w:r w:rsidRPr="004035A4">
        <w:t>Визнання доходів – дохід від реалізації товарів, надання позичок тощо визнається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0979B7" w:rsidRPr="004035A4" w:rsidRDefault="000979B7" w:rsidP="00DC2A23">
      <w:pPr>
        <w:ind w:firstLine="540"/>
        <w:jc w:val="both"/>
      </w:pPr>
      <w:r w:rsidRPr="004035A4">
        <w:rPr>
          <w:i/>
        </w:rPr>
        <w:t>Податковий облік</w:t>
      </w:r>
      <w:r w:rsidR="00F86468" w:rsidRPr="004035A4">
        <w:rPr>
          <w:i/>
        </w:rPr>
        <w:t>.</w:t>
      </w:r>
    </w:p>
    <w:p w:rsidR="000979B7" w:rsidRPr="004035A4" w:rsidRDefault="000979B7" w:rsidP="00DC2A23">
      <w:pPr>
        <w:ind w:firstLine="540"/>
        <w:jc w:val="both"/>
      </w:pPr>
      <w:r w:rsidRPr="004035A4">
        <w:t xml:space="preserve">Податковий облік здійснювати у відповідності до вимог податкового законодавства України. </w:t>
      </w:r>
      <w:bookmarkStart w:id="5" w:name="29"/>
      <w:bookmarkStart w:id="6" w:name="30"/>
      <w:bookmarkStart w:id="7" w:name="31"/>
      <w:bookmarkStart w:id="8" w:name="32"/>
      <w:bookmarkStart w:id="9" w:name="33"/>
      <w:bookmarkStart w:id="10" w:name="34"/>
      <w:bookmarkEnd w:id="5"/>
      <w:bookmarkEnd w:id="6"/>
      <w:bookmarkEnd w:id="7"/>
      <w:bookmarkEnd w:id="8"/>
      <w:bookmarkEnd w:id="9"/>
      <w:bookmarkEnd w:id="10"/>
      <w:r w:rsidRPr="004035A4">
        <w:t xml:space="preserve">Компанія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w:t>
      </w:r>
    </w:p>
    <w:p w:rsidR="00EC3AB8" w:rsidRPr="004035A4" w:rsidRDefault="00EC3AB8" w:rsidP="00DC2A23">
      <w:pPr>
        <w:ind w:firstLine="540"/>
        <w:jc w:val="both"/>
        <w:rPr>
          <w:b/>
          <w:bCs/>
        </w:rPr>
      </w:pPr>
    </w:p>
    <w:p w:rsidR="00070D6D" w:rsidRPr="004035A4" w:rsidRDefault="00070D6D" w:rsidP="00DC2A23">
      <w:pPr>
        <w:ind w:firstLine="540"/>
        <w:jc w:val="both"/>
        <w:rPr>
          <w:b/>
          <w:bCs/>
        </w:rPr>
      </w:pPr>
      <w:r w:rsidRPr="004035A4">
        <w:rPr>
          <w:b/>
          <w:bCs/>
        </w:rPr>
        <w:t>4. Істотні судження  та основні джерела невизначеності в процесі застосування облікової політики.</w:t>
      </w:r>
    </w:p>
    <w:p w:rsidR="00070D6D" w:rsidRPr="004035A4" w:rsidRDefault="00070D6D" w:rsidP="00DC2A23">
      <w:pPr>
        <w:shd w:val="clear" w:color="auto" w:fill="FFFFFF"/>
        <w:autoSpaceDE w:val="0"/>
        <w:autoSpaceDN w:val="0"/>
        <w:adjustRightInd w:val="0"/>
        <w:ind w:firstLine="540"/>
        <w:jc w:val="both"/>
        <w:rPr>
          <w:color w:val="000000"/>
        </w:rPr>
      </w:pPr>
      <w:r w:rsidRPr="004035A4">
        <w:rPr>
          <w:color w:val="000000"/>
        </w:rPr>
        <w:t>Керівництво використовує ряд оцінок, суджень та при</w:t>
      </w:r>
      <w:r w:rsidRPr="004035A4">
        <w:rPr>
          <w:color w:val="000000"/>
        </w:rPr>
        <w:softHyphen/>
        <w:t>пущень по відношенню представлення акти</w:t>
      </w:r>
      <w:r w:rsidRPr="004035A4">
        <w:rPr>
          <w:color w:val="000000"/>
        </w:rPr>
        <w:softHyphen/>
        <w:t>вів і зобов'язань і розкриття умовних активів і зобов'язань при підготовці фінансової звітнос</w:t>
      </w:r>
      <w:r w:rsidRPr="004035A4">
        <w:rPr>
          <w:color w:val="000000"/>
        </w:rPr>
        <w:softHyphen/>
        <w:t>ті у відповідності з вимогами МСФЗ. Фактичні результати можуть відрізнятися від вказаних оцінок. Припущення і зроблені на їх основі розра</w:t>
      </w:r>
      <w:r w:rsidRPr="004035A4">
        <w:rPr>
          <w:color w:val="000000"/>
        </w:rPr>
        <w:softHyphen/>
        <w:t>хункові оцінки постійно аналізуються на пред</w:t>
      </w:r>
      <w:r w:rsidRPr="004035A4">
        <w:rPr>
          <w:color w:val="000000"/>
        </w:rPr>
        <w:softHyphen/>
        <w:t>мет необхідності їх зміни.</w:t>
      </w:r>
    </w:p>
    <w:p w:rsidR="00070D6D" w:rsidRPr="004035A4" w:rsidRDefault="00070D6D" w:rsidP="00DC2A23">
      <w:pPr>
        <w:pStyle w:val="NormalLeft063cm"/>
        <w:ind w:left="0" w:right="0" w:firstLine="540"/>
        <w:jc w:val="both"/>
        <w:rPr>
          <w:sz w:val="24"/>
          <w:szCs w:val="24"/>
        </w:rPr>
      </w:pPr>
      <w:r w:rsidRPr="004035A4">
        <w:rPr>
          <w:sz w:val="24"/>
          <w:szCs w:val="24"/>
        </w:rPr>
        <w:t xml:space="preserve">У процесі застосування облікової політики </w:t>
      </w:r>
      <w:r w:rsidR="00AD5667" w:rsidRPr="004035A4">
        <w:rPr>
          <w:sz w:val="24"/>
          <w:szCs w:val="24"/>
        </w:rPr>
        <w:t>Ломбарду</w:t>
      </w:r>
      <w:r w:rsidRPr="004035A4">
        <w:rPr>
          <w:sz w:val="24"/>
          <w:szCs w:val="24"/>
        </w:rPr>
        <w:t xml:space="preserve"> керівництво зробило певні професійні судження, окрім тих, які вимагають використання оцінок, які мають найбільш істотний вплив на суми, визнані в  фінансовій звітності. Ці судження, серед іншого, включають </w:t>
      </w:r>
      <w:r w:rsidRPr="004035A4">
        <w:rPr>
          <w:sz w:val="24"/>
          <w:szCs w:val="24"/>
        </w:rPr>
        <w:lastRenderedPageBreak/>
        <w:t>правомірність застосування припущення щодо здатності вести свою діяльність на безперервній основі.</w:t>
      </w:r>
    </w:p>
    <w:p w:rsidR="00070D6D" w:rsidRPr="004035A4" w:rsidRDefault="00070D6D" w:rsidP="00DC2A23">
      <w:pPr>
        <w:autoSpaceDE w:val="0"/>
        <w:ind w:firstLine="540"/>
        <w:jc w:val="both"/>
        <w:rPr>
          <w:b/>
          <w:i/>
        </w:rPr>
      </w:pPr>
      <w:r w:rsidRPr="004035A4">
        <w:t>Основні джерела невизначеності оцінок.</w:t>
      </w:r>
      <w:r w:rsidRPr="004035A4">
        <w:rPr>
          <w:b/>
          <w:i/>
        </w:rPr>
        <w:t xml:space="preserve"> </w:t>
      </w:r>
    </w:p>
    <w:p w:rsidR="00070D6D" w:rsidRPr="004035A4" w:rsidRDefault="00070D6D" w:rsidP="00DC2A23">
      <w:pPr>
        <w:autoSpaceDE w:val="0"/>
        <w:ind w:firstLine="540"/>
        <w:jc w:val="both"/>
      </w:pPr>
      <w:r w:rsidRPr="004035A4">
        <w:t>Нижче наведені ключові припущення щодо майбутнього, а також основні джерела невизначеності оцінок на кінець звітного періоду, які мають істотний ризик стати причиною внесення суттєвих коригувань до балансової вартості активів та зобов'язань протягом наступного фінансового року:</w:t>
      </w:r>
    </w:p>
    <w:p w:rsidR="00070D6D" w:rsidRPr="004035A4" w:rsidRDefault="00070D6D" w:rsidP="00DC2A23">
      <w:pPr>
        <w:pStyle w:val="210"/>
        <w:tabs>
          <w:tab w:val="left" w:pos="851"/>
        </w:tabs>
        <w:spacing w:before="0"/>
        <w:ind w:firstLine="540"/>
        <w:rPr>
          <w:rFonts w:ascii="Times New Roman" w:hAnsi="Times New Roman"/>
          <w:szCs w:val="24"/>
        </w:rPr>
      </w:pPr>
      <w:r w:rsidRPr="004035A4">
        <w:rPr>
          <w:rFonts w:ascii="Times New Roman" w:hAnsi="Times New Roman"/>
          <w:i/>
          <w:szCs w:val="24"/>
        </w:rPr>
        <w:t xml:space="preserve">Строки корисного використання основних засобів. </w:t>
      </w:r>
      <w:r w:rsidRPr="004035A4">
        <w:rPr>
          <w:rFonts w:ascii="Times New Roman" w:hAnsi="Times New Roman"/>
          <w:szCs w:val="24"/>
        </w:rPr>
        <w:t>Оцінка строків корисного використання об'єктів основних засобів залежить від професійного судження керівництва, яке засноване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070D6D" w:rsidRPr="004035A4" w:rsidRDefault="00070D6D" w:rsidP="00DC2A23">
      <w:pPr>
        <w:tabs>
          <w:tab w:val="left" w:pos="851"/>
        </w:tabs>
        <w:autoSpaceDE w:val="0"/>
        <w:ind w:firstLine="540"/>
        <w:jc w:val="both"/>
        <w:rPr>
          <w:i/>
        </w:rPr>
      </w:pPr>
      <w:r w:rsidRPr="004035A4">
        <w:rPr>
          <w:i/>
        </w:rPr>
        <w:t xml:space="preserve">Відстрочені податкові активи. </w:t>
      </w:r>
      <w:r w:rsidRPr="004035A4">
        <w:t xml:space="preserve">Діючий </w:t>
      </w:r>
      <w:r w:rsidR="00AD5667" w:rsidRPr="004035A4">
        <w:t>Податковий кодекс України та зміни що вносяться до нього</w:t>
      </w:r>
      <w:r w:rsidRPr="004035A4">
        <w:t xml:space="preserve"> суттєво змін</w:t>
      </w:r>
      <w:r w:rsidR="00AD5667" w:rsidRPr="004035A4">
        <w:t>юють</w:t>
      </w:r>
      <w:r w:rsidRPr="004035A4">
        <w:t xml:space="preserve"> податкові закони і ставки оподаткування. Суми і терміни сторнування тимчасових різниць залежать від прийняття істотних суджень керівництва Товариства на підставі оцінки майбутньої облікової та податкової вартості основних засобів.</w:t>
      </w:r>
    </w:p>
    <w:p w:rsidR="00070D6D" w:rsidRDefault="00070D6D" w:rsidP="00DC2A23">
      <w:pPr>
        <w:autoSpaceDE w:val="0"/>
        <w:ind w:firstLine="540"/>
        <w:jc w:val="both"/>
      </w:pPr>
      <w:r w:rsidRPr="004035A4">
        <w:t xml:space="preserve">Відстрочені податкові активи визнаються для всіх невикористаних податкових збитків в тій мірі, в якій ймовірно отримання оподатковуваного прибутку, за рахунок якого можливо буде реалізувати дані збитки. Від керівництва </w:t>
      </w:r>
      <w:r w:rsidR="00AD5667" w:rsidRPr="004035A4">
        <w:t xml:space="preserve">Ломбарду </w:t>
      </w:r>
      <w:r w:rsidRPr="004035A4">
        <w:t>вимагається прийняття істотного професійного судження при визначенні суми відстрочених податкових активів, які можна визнати, на основі очікуваного терміну і рівня оподатковуваних прибутків з урахуванням стратегії майбутнього податкового планування.</w:t>
      </w:r>
    </w:p>
    <w:p w:rsidR="00FB4491" w:rsidRPr="00ED3EF1" w:rsidRDefault="00FB4491" w:rsidP="00FB4491">
      <w:pPr>
        <w:pStyle w:val="Standard"/>
        <w:widowControl w:val="0"/>
        <w:ind w:firstLine="567"/>
        <w:contextualSpacing/>
        <w:jc w:val="both"/>
        <w:rPr>
          <w:rFonts w:ascii="Times New Roman" w:eastAsia="Times New Roman" w:hAnsi="Times New Roman" w:cs="Times New Roman"/>
          <w:color w:val="00000A"/>
          <w:lang w:eastAsia="zh-CN"/>
        </w:rPr>
      </w:pPr>
      <w:r w:rsidRPr="00FB4491">
        <w:rPr>
          <w:rFonts w:ascii="Times New Roman" w:eastAsia="Times New Roman" w:hAnsi="Times New Roman" w:cs="Times New Roman"/>
          <w:i/>
          <w:color w:val="00000A"/>
          <w:lang w:eastAsia="zh-CN"/>
        </w:rPr>
        <w:t xml:space="preserve">Судження щодо необхідності </w:t>
      </w:r>
      <w:r w:rsidRPr="00FB4491">
        <w:rPr>
          <w:i/>
        </w:rPr>
        <w:t xml:space="preserve"> </w:t>
      </w:r>
      <w:r w:rsidRPr="00FB4491">
        <w:rPr>
          <w:rFonts w:ascii="Times New Roman" w:eastAsia="Times New Roman" w:hAnsi="Times New Roman" w:cs="Times New Roman"/>
          <w:i/>
          <w:color w:val="00000A"/>
          <w:lang w:eastAsia="zh-CN"/>
        </w:rPr>
        <w:t xml:space="preserve">перерахування </w:t>
      </w:r>
      <w:r w:rsidRPr="00FB4491">
        <w:rPr>
          <w:i/>
        </w:rPr>
        <w:t xml:space="preserve"> </w:t>
      </w:r>
      <w:r w:rsidRPr="00FB4491">
        <w:rPr>
          <w:rFonts w:ascii="Times New Roman" w:eastAsia="Times New Roman" w:hAnsi="Times New Roman" w:cs="Times New Roman"/>
          <w:i/>
          <w:color w:val="00000A"/>
          <w:lang w:eastAsia="zh-CN"/>
        </w:rPr>
        <w:t>фінансової звітності складеної на 31.12.201</w:t>
      </w:r>
      <w:r w:rsidR="00CB3253">
        <w:rPr>
          <w:rFonts w:ascii="Times New Roman" w:eastAsia="Times New Roman" w:hAnsi="Times New Roman" w:cs="Times New Roman"/>
          <w:i/>
          <w:color w:val="00000A"/>
          <w:lang w:eastAsia="zh-CN"/>
        </w:rPr>
        <w:t>9</w:t>
      </w:r>
      <w:r w:rsidRPr="00FB4491">
        <w:rPr>
          <w:rFonts w:ascii="Times New Roman" w:eastAsia="Times New Roman" w:hAnsi="Times New Roman" w:cs="Times New Roman"/>
          <w:i/>
          <w:color w:val="00000A"/>
          <w:lang w:eastAsia="zh-CN"/>
        </w:rPr>
        <w:t xml:space="preserve"> року у відповідності </w:t>
      </w:r>
      <w:r w:rsidRPr="00FB4491">
        <w:rPr>
          <w:i/>
        </w:rPr>
        <w:t xml:space="preserve"> </w:t>
      </w:r>
      <w:r w:rsidRPr="00FB4491">
        <w:rPr>
          <w:rFonts w:ascii="Times New Roman" w:eastAsia="Times New Roman" w:hAnsi="Times New Roman" w:cs="Times New Roman"/>
          <w:i/>
          <w:color w:val="00000A"/>
          <w:lang w:eastAsia="zh-CN"/>
        </w:rPr>
        <w:t>МСБО 29</w:t>
      </w:r>
      <w:r w:rsidRPr="00ED3EF1">
        <w:rPr>
          <w:rFonts w:ascii="Times New Roman" w:eastAsia="Times New Roman" w:hAnsi="Times New Roman" w:cs="Times New Roman"/>
          <w:i/>
          <w:color w:val="00000A"/>
          <w:lang w:eastAsia="zh-CN"/>
        </w:rPr>
        <w:t xml:space="preserve"> «Фінансова звітність в умовах гіперінфляції».</w:t>
      </w:r>
    </w:p>
    <w:p w:rsidR="00FB4491" w:rsidRPr="00ED3EF1" w:rsidRDefault="00FB4491" w:rsidP="00FB4491">
      <w:pPr>
        <w:pStyle w:val="Standard"/>
        <w:widowControl w:val="0"/>
        <w:ind w:firstLine="567"/>
        <w:contextualSpacing/>
        <w:jc w:val="both"/>
        <w:rPr>
          <w:rFonts w:ascii="Times New Roman" w:eastAsia="Times New Roman" w:hAnsi="Times New Roman" w:cs="Times New Roman"/>
          <w:color w:val="00000A"/>
          <w:lang w:eastAsia="zh-CN"/>
        </w:rPr>
      </w:pPr>
      <w:r w:rsidRPr="00ED3EF1">
        <w:rPr>
          <w:rFonts w:ascii="Times New Roman" w:eastAsia="Times New Roman" w:hAnsi="Times New Roman" w:cs="Times New Roman"/>
          <w:color w:val="00000A"/>
          <w:lang w:eastAsia="zh-CN"/>
        </w:rPr>
        <w:t>МСБО 29 не встановлює абсолютного рівня, на якому вважається, що виникає гіперінфляція.</w:t>
      </w:r>
    </w:p>
    <w:p w:rsidR="00FB4491" w:rsidRPr="00ED3EF1" w:rsidRDefault="00FB4491" w:rsidP="00FB4491">
      <w:pPr>
        <w:pStyle w:val="Standard"/>
        <w:widowControl w:val="0"/>
        <w:ind w:firstLine="567"/>
        <w:contextualSpacing/>
        <w:jc w:val="both"/>
        <w:rPr>
          <w:rFonts w:ascii="Times New Roman" w:eastAsia="Times New Roman" w:hAnsi="Times New Roman" w:cs="Times New Roman"/>
          <w:color w:val="00000A"/>
          <w:lang w:eastAsia="zh-CN"/>
        </w:rPr>
      </w:pPr>
      <w:r w:rsidRPr="00ED3EF1">
        <w:rPr>
          <w:rFonts w:ascii="Times New Roman" w:eastAsia="Times New Roman" w:hAnsi="Times New Roman" w:cs="Times New Roman"/>
          <w:color w:val="00000A"/>
          <w:lang w:eastAsia="zh-CN"/>
        </w:rPr>
        <w:t>Показником гіперінфляції є характеристики економічного середовища в Україні, які включають таке (але не обмежуються таким):</w:t>
      </w:r>
    </w:p>
    <w:p w:rsidR="00FB4491" w:rsidRPr="00ED3EF1" w:rsidRDefault="00FB4491" w:rsidP="00FB4491">
      <w:pPr>
        <w:pStyle w:val="Standard"/>
        <w:widowControl w:val="0"/>
        <w:ind w:firstLine="567"/>
        <w:contextualSpacing/>
        <w:jc w:val="both"/>
        <w:rPr>
          <w:rFonts w:ascii="Times New Roman" w:eastAsia="Times New Roman" w:hAnsi="Times New Roman" w:cs="Times New Roman"/>
          <w:color w:val="00000A"/>
          <w:lang w:eastAsia="zh-CN"/>
        </w:rPr>
      </w:pPr>
      <w:r w:rsidRPr="00ED3EF1">
        <w:rPr>
          <w:rFonts w:ascii="Times New Roman" w:eastAsia="Times New Roman" w:hAnsi="Times New Roman" w:cs="Times New Roman"/>
          <w:color w:val="00000A"/>
          <w:lang w:eastAsia="zh-CN"/>
        </w:rPr>
        <w:t>а) основна маса населення віддає перевагу збереженню своїх цінностей у формі немонетарних активів або у відносно стабільній іноземній валюті. Суми, утримувані в національній валюті, негайно інвестуються для збереження купівельної спроможності;</w:t>
      </w:r>
    </w:p>
    <w:p w:rsidR="00FB4491" w:rsidRPr="00ED3EF1" w:rsidRDefault="00FB4491" w:rsidP="00FB4491">
      <w:pPr>
        <w:pStyle w:val="Standard"/>
        <w:widowControl w:val="0"/>
        <w:ind w:firstLine="567"/>
        <w:jc w:val="both"/>
        <w:rPr>
          <w:rFonts w:ascii="Times New Roman" w:eastAsia="Times New Roman" w:hAnsi="Times New Roman" w:cs="Times New Roman"/>
          <w:color w:val="00000A"/>
          <w:lang w:eastAsia="zh-CN"/>
        </w:rPr>
      </w:pPr>
      <w:r w:rsidRPr="00ED3EF1">
        <w:rPr>
          <w:rFonts w:ascii="Times New Roman" w:eastAsia="Times New Roman" w:hAnsi="Times New Roman" w:cs="Times New Roman"/>
          <w:color w:val="00000A"/>
          <w:lang w:eastAsia="zh-CN"/>
        </w:rPr>
        <w:t>б) основна маса населення розглядає грошові суми не в національній грошовій одиниці, а у відносно стабільній іноземній валюті. Ціни можуть також наводитися в цій валюті;</w:t>
      </w:r>
    </w:p>
    <w:p w:rsidR="00FB4491" w:rsidRPr="00ED3EF1" w:rsidRDefault="00FB4491" w:rsidP="00FB4491">
      <w:pPr>
        <w:pStyle w:val="Standard"/>
        <w:widowControl w:val="0"/>
        <w:ind w:firstLine="567"/>
        <w:jc w:val="both"/>
        <w:rPr>
          <w:rFonts w:ascii="Times New Roman" w:eastAsia="Times New Roman" w:hAnsi="Times New Roman" w:cs="Times New Roman"/>
          <w:color w:val="00000A"/>
          <w:lang w:eastAsia="zh-CN"/>
        </w:rPr>
      </w:pPr>
      <w:r w:rsidRPr="00ED3EF1">
        <w:rPr>
          <w:rFonts w:ascii="Times New Roman" w:eastAsia="Times New Roman" w:hAnsi="Times New Roman" w:cs="Times New Roman"/>
          <w:color w:val="00000A"/>
          <w:lang w:eastAsia="zh-CN"/>
        </w:rPr>
        <w:t>в) продаж та придбання на умовах відстрочки платежу здійснюється за цінами, які компенсують очікувану втрату купівельної спроможності протягом періоду відстрочки платежу, навіть якщо цей строк є коротким;</w:t>
      </w:r>
    </w:p>
    <w:p w:rsidR="00FB4491" w:rsidRPr="00ED3EF1" w:rsidRDefault="00FB4491" w:rsidP="00FB4491">
      <w:pPr>
        <w:pStyle w:val="Standard"/>
        <w:widowControl w:val="0"/>
        <w:ind w:firstLine="567"/>
        <w:jc w:val="both"/>
        <w:rPr>
          <w:rFonts w:ascii="Times New Roman" w:eastAsia="Times New Roman" w:hAnsi="Times New Roman" w:cs="Times New Roman"/>
          <w:color w:val="00000A"/>
          <w:lang w:eastAsia="zh-CN"/>
        </w:rPr>
      </w:pPr>
      <w:r w:rsidRPr="00ED3EF1">
        <w:rPr>
          <w:rFonts w:ascii="Times New Roman" w:eastAsia="Times New Roman" w:hAnsi="Times New Roman" w:cs="Times New Roman"/>
          <w:color w:val="00000A"/>
          <w:lang w:eastAsia="zh-CN"/>
        </w:rPr>
        <w:t>г) відсоткові ставки, заробітна плата та ціни індексуються згідно індексу цін;</w:t>
      </w:r>
    </w:p>
    <w:p w:rsidR="00FB4491" w:rsidRPr="00ED3EF1" w:rsidRDefault="00FB4491" w:rsidP="00FB4491">
      <w:pPr>
        <w:pStyle w:val="Standard"/>
        <w:widowControl w:val="0"/>
        <w:ind w:firstLine="567"/>
        <w:jc w:val="both"/>
        <w:rPr>
          <w:rFonts w:ascii="Times New Roman" w:eastAsia="Times New Roman" w:hAnsi="Times New Roman" w:cs="Times New Roman"/>
          <w:color w:val="00000A"/>
          <w:lang w:eastAsia="zh-CN"/>
        </w:rPr>
      </w:pPr>
      <w:r w:rsidRPr="00ED3EF1">
        <w:rPr>
          <w:rFonts w:ascii="Times New Roman" w:eastAsia="Times New Roman" w:hAnsi="Times New Roman" w:cs="Times New Roman"/>
          <w:color w:val="00000A"/>
          <w:lang w:eastAsia="zh-CN"/>
        </w:rPr>
        <w:t>ґ) кумулятивний рівень інфляції за трирічний період наближається до 100% або перевищує цей рівень.</w:t>
      </w:r>
    </w:p>
    <w:p w:rsidR="00624B18" w:rsidRPr="00B72AB2" w:rsidRDefault="00624B18" w:rsidP="00624B18">
      <w:pPr>
        <w:ind w:firstLine="567"/>
        <w:jc w:val="both"/>
        <w:rPr>
          <w:szCs w:val="24"/>
        </w:rPr>
      </w:pPr>
      <w:r w:rsidRPr="00B72AB2">
        <w:rPr>
          <w:szCs w:val="24"/>
        </w:rPr>
        <w:t xml:space="preserve">На кінець </w:t>
      </w:r>
      <w:r>
        <w:rPr>
          <w:szCs w:val="24"/>
        </w:rPr>
        <w:t>2019</w:t>
      </w:r>
      <w:r w:rsidRPr="00B72AB2">
        <w:rPr>
          <w:szCs w:val="24"/>
        </w:rPr>
        <w:t xml:space="preserve"> року розрахований  кумулятивний рівень інфляції за 201</w:t>
      </w:r>
      <w:r>
        <w:rPr>
          <w:szCs w:val="24"/>
        </w:rPr>
        <w:t>7</w:t>
      </w:r>
      <w:r w:rsidRPr="00B72AB2">
        <w:rPr>
          <w:szCs w:val="24"/>
        </w:rPr>
        <w:t>-</w:t>
      </w:r>
      <w:r>
        <w:rPr>
          <w:szCs w:val="24"/>
        </w:rPr>
        <w:t>2019</w:t>
      </w:r>
      <w:r w:rsidRPr="00B72AB2">
        <w:rPr>
          <w:szCs w:val="24"/>
        </w:rPr>
        <w:t xml:space="preserve"> роки не перевищив показник 100% і склав </w:t>
      </w:r>
      <w:r>
        <w:rPr>
          <w:szCs w:val="24"/>
        </w:rPr>
        <w:t>26,98</w:t>
      </w:r>
      <w:r w:rsidRPr="00B72AB2">
        <w:rPr>
          <w:szCs w:val="24"/>
        </w:rPr>
        <w:t>%</w:t>
      </w:r>
      <w:r>
        <w:rPr>
          <w:szCs w:val="24"/>
        </w:rPr>
        <w:t xml:space="preserve">, </w:t>
      </w:r>
      <w:r w:rsidRPr="00B72AB2">
        <w:rPr>
          <w:szCs w:val="24"/>
        </w:rPr>
        <w:t>немає перевищення рівня 100% станом на 31.12.</w:t>
      </w:r>
      <w:r>
        <w:rPr>
          <w:szCs w:val="24"/>
        </w:rPr>
        <w:t>2019</w:t>
      </w:r>
      <w:r w:rsidRPr="00B72AB2">
        <w:rPr>
          <w:szCs w:val="24"/>
        </w:rPr>
        <w:t xml:space="preserve"> року. Аналіз макропоказників розвитку економіки України свідчать про зниження факторів кумулятивної інфляції. Тобто, якісні показники підтверджують, що Україна на 31.12.</w:t>
      </w:r>
      <w:r>
        <w:rPr>
          <w:szCs w:val="24"/>
        </w:rPr>
        <w:t>2019</w:t>
      </w:r>
      <w:r w:rsidRPr="00B72AB2">
        <w:rPr>
          <w:szCs w:val="24"/>
        </w:rPr>
        <w:t xml:space="preserve"> року не є гіперінфляційною країною.</w:t>
      </w:r>
    </w:p>
    <w:p w:rsidR="00624B18" w:rsidRPr="00B72AB2" w:rsidRDefault="00624B18" w:rsidP="00624B18">
      <w:pPr>
        <w:ind w:firstLine="567"/>
        <w:jc w:val="both"/>
        <w:rPr>
          <w:szCs w:val="24"/>
        </w:rPr>
      </w:pPr>
      <w:r w:rsidRPr="00B72AB2">
        <w:rPr>
          <w:szCs w:val="24"/>
        </w:rPr>
        <w:t>Проаналізувавши інші критерії, ми вважаємо, що за показниками наведеними у підпунктах в) і г) параграфа 3 МСБО 29 економічний стан в Україні не відповідає ситуації, що характеризується гіперінфляцією. МСБО 29 має бути застосований з самого початку періоду, в якому існування гіперінфляції ідентифіковане. Станом на дату підписання фінансової звітності існування гіперінфляції в Україні не ідентифіковано.</w:t>
      </w:r>
    </w:p>
    <w:p w:rsidR="00624B18" w:rsidRPr="00B72AB2" w:rsidRDefault="00624B18" w:rsidP="00624B18">
      <w:pPr>
        <w:ind w:firstLine="567"/>
        <w:jc w:val="both"/>
        <w:rPr>
          <w:szCs w:val="24"/>
        </w:rPr>
      </w:pPr>
      <w:r w:rsidRPr="00B72AB2">
        <w:rPr>
          <w:szCs w:val="24"/>
        </w:rPr>
        <w:t>Враховуючи вище наведене, нами прийнято рішення не застосовувати МСБО 29 «Фінансова звітність в умовах гіперінфляції».</w:t>
      </w:r>
    </w:p>
    <w:p w:rsidR="00624B18" w:rsidRPr="00B72AB2" w:rsidRDefault="00624B18" w:rsidP="00624B18">
      <w:pPr>
        <w:ind w:firstLine="567"/>
        <w:jc w:val="both"/>
        <w:rPr>
          <w:szCs w:val="24"/>
        </w:rPr>
      </w:pPr>
      <w:r>
        <w:rPr>
          <w:szCs w:val="24"/>
        </w:rPr>
        <w:t>П</w:t>
      </w:r>
      <w:r w:rsidRPr="00B72AB2">
        <w:rPr>
          <w:szCs w:val="24"/>
        </w:rPr>
        <w:t xml:space="preserve">ротягом  </w:t>
      </w:r>
      <w:r>
        <w:rPr>
          <w:szCs w:val="24"/>
        </w:rPr>
        <w:t>наступного</w:t>
      </w:r>
      <w:r w:rsidRPr="00B72AB2">
        <w:rPr>
          <w:szCs w:val="24"/>
        </w:rPr>
        <w:t xml:space="preserve"> року  ми будемо контролювати цю ситуацію та аналізувати  як  кількісні фактори  кумулятивної інфляції, так і якісні макропоказники, що  позитивно </w:t>
      </w:r>
      <w:r w:rsidRPr="00B72AB2">
        <w:rPr>
          <w:szCs w:val="24"/>
        </w:rPr>
        <w:lastRenderedPageBreak/>
        <w:t>впливають на економічний розвиток, які в свою чергу  є факторами, що впливають на зниження кількісних інфляційних  складових.</w:t>
      </w:r>
    </w:p>
    <w:p w:rsidR="00AD5667" w:rsidRPr="004035A4" w:rsidRDefault="00AD5667" w:rsidP="00DC2A23">
      <w:pPr>
        <w:autoSpaceDE w:val="0"/>
        <w:ind w:firstLine="540"/>
        <w:jc w:val="both"/>
      </w:pPr>
    </w:p>
    <w:p w:rsidR="00AD5667" w:rsidRPr="004035A4" w:rsidRDefault="00AD5667" w:rsidP="00DC2A23">
      <w:pPr>
        <w:autoSpaceDE w:val="0"/>
        <w:autoSpaceDN w:val="0"/>
        <w:adjustRightInd w:val="0"/>
        <w:ind w:firstLine="540"/>
        <w:jc w:val="both"/>
        <w:rPr>
          <w:b/>
        </w:rPr>
      </w:pPr>
      <w:r w:rsidRPr="004035A4">
        <w:rPr>
          <w:b/>
        </w:rPr>
        <w:t>5. Економічне середовище, в умовах якого Ломбард здійснює свою діяльність</w:t>
      </w:r>
    </w:p>
    <w:p w:rsidR="003A7506" w:rsidRPr="00CA13BC" w:rsidRDefault="003A7506" w:rsidP="003A7506">
      <w:pPr>
        <w:ind w:firstLine="567"/>
        <w:jc w:val="both"/>
        <w:rPr>
          <w:rStyle w:val="14"/>
          <w:rFonts w:eastAsia="Courier New"/>
          <w:color w:val="000000"/>
          <w:szCs w:val="24"/>
          <w:lang w:eastAsia="uk-UA"/>
        </w:rPr>
      </w:pPr>
      <w:r w:rsidRPr="00CA13BC">
        <w:rPr>
          <w:rStyle w:val="14"/>
          <w:rFonts w:eastAsia="Courier New"/>
          <w:color w:val="000000"/>
          <w:szCs w:val="24"/>
          <w:lang w:eastAsia="uk-UA"/>
        </w:rPr>
        <w:t>Товариство функціонує в нестабільному середовищі, що пов’язано з постійно не визначеною, часто змінною економічною ситуацією, продовженням збройного конфлікту на сході України</w:t>
      </w:r>
      <w:r>
        <w:rPr>
          <w:rStyle w:val="14"/>
          <w:rFonts w:eastAsia="Courier New"/>
          <w:color w:val="000000"/>
          <w:szCs w:val="24"/>
          <w:lang w:eastAsia="uk-UA"/>
        </w:rPr>
        <w:t xml:space="preserve"> та окупацією Криму</w:t>
      </w:r>
      <w:r w:rsidRPr="00CA13BC">
        <w:rPr>
          <w:rStyle w:val="14"/>
          <w:rFonts w:eastAsia="Courier New"/>
          <w:color w:val="000000"/>
          <w:szCs w:val="24"/>
          <w:lang w:eastAsia="uk-UA"/>
        </w:rPr>
        <w:t xml:space="preserve">. Ситуація ускладняється суттєвими коливаннями валютного курсу національної валюти. Стабілізація економічної ситуації в Україні значною мірою буде залежати від ефективності фіскальних та інших економічних заходів, що будуть вживатися Урядом України. </w:t>
      </w:r>
    </w:p>
    <w:p w:rsidR="003A7506" w:rsidRDefault="003A7506" w:rsidP="003A7506">
      <w:pPr>
        <w:ind w:firstLine="567"/>
        <w:jc w:val="both"/>
        <w:rPr>
          <w:rStyle w:val="14"/>
          <w:rFonts w:eastAsia="Courier New"/>
          <w:color w:val="000000"/>
          <w:szCs w:val="24"/>
          <w:lang w:eastAsia="uk-UA"/>
        </w:rPr>
      </w:pPr>
      <w:r w:rsidRPr="00CA13BC">
        <w:rPr>
          <w:rStyle w:val="14"/>
          <w:rFonts w:eastAsia="Courier New"/>
          <w:color w:val="000000"/>
          <w:szCs w:val="24"/>
          <w:lang w:eastAsia="uk-UA"/>
        </w:rPr>
        <w:t>У зв’язку з цим неможливо достовірно оцінити ефект впливу поточної економічної ситуації на фінансовий стан Компанії. У результаті виникає невизначеність, яка може вплинути на майбутні операції та можливість збереження вартості  його активів. Ця фінансова звітність не включає жодних коригувань, які можуть виникнути в результаті такої невизначеності. Про такі коригування буде повідомлено, якщо вони стануть відомі та зможуть бути оцінені.</w:t>
      </w:r>
    </w:p>
    <w:p w:rsidR="00386423" w:rsidRPr="00887336" w:rsidRDefault="00386423" w:rsidP="00386423">
      <w:pPr>
        <w:pStyle w:val="af"/>
        <w:shd w:val="clear" w:color="auto" w:fill="FFFFFF"/>
        <w:spacing w:before="0" w:beforeAutospacing="0" w:after="0" w:afterAutospacing="0"/>
        <w:ind w:firstLine="567"/>
        <w:jc w:val="both"/>
        <w:rPr>
          <w:rStyle w:val="hps"/>
          <w:lang w:val="uk-UA"/>
        </w:rPr>
      </w:pPr>
      <w:r w:rsidRPr="00887336">
        <w:rPr>
          <w:rStyle w:val="hps"/>
          <w:lang w:val="uk-UA"/>
        </w:rPr>
        <w:t xml:space="preserve">Звертаємо Вашу увагу на те, що після дати балансу, вже з березня 2020 року, Товариство здійснює свою діяльність в умовах оголошеного в Україні карантину, в зв’язку з визнаною ВООЗ 11 березня 2020року пандемією коронавірусної хвороби 2019 (COVID-19). Карантин передбачає ряд обмежувальних заходів, які можуть вплинути на ситуацію в економіці України і на діяльність Товариства. В результаті  обмежувальних заходів та нестабільної ситуації в Україні діяльність Товариства супроводжується ризиками. </w:t>
      </w:r>
    </w:p>
    <w:p w:rsidR="00386423" w:rsidRPr="001673CD" w:rsidRDefault="00386423" w:rsidP="00386423">
      <w:pPr>
        <w:pStyle w:val="af"/>
        <w:shd w:val="clear" w:color="auto" w:fill="FFFFFF"/>
        <w:spacing w:before="0" w:beforeAutospacing="0" w:after="0" w:afterAutospacing="0"/>
        <w:ind w:firstLine="567"/>
        <w:jc w:val="both"/>
        <w:rPr>
          <w:rStyle w:val="hps"/>
          <w:lang w:val="uk-UA"/>
        </w:rPr>
      </w:pPr>
      <w:r w:rsidRPr="00887336">
        <w:rPr>
          <w:rStyle w:val="hps"/>
          <w:lang w:val="uk-UA"/>
        </w:rPr>
        <w:t>У зв’язку з цим неможливо достовірно оцінити ефект впливу поточної економічної ситуації на фінансовий стан Компанії. У результаті виникає невизначеність, яка може вплинути на майбутні операції та можливість збереження вартості  його активів. Ця фінансова звітність не включає жодних коригувань, які можуть виникнути в результаті такої невизначеності. Про такі коригування буде повідомлено, якщо вони стануть відомі та зможуть бути оцінені.</w:t>
      </w:r>
    </w:p>
    <w:p w:rsidR="003A7506" w:rsidRPr="00CA13BC" w:rsidRDefault="003A7506" w:rsidP="003A7506">
      <w:pPr>
        <w:ind w:firstLine="567"/>
        <w:jc w:val="both"/>
        <w:rPr>
          <w:rStyle w:val="14"/>
          <w:rFonts w:eastAsia="Courier New"/>
          <w:color w:val="000000"/>
          <w:szCs w:val="24"/>
          <w:lang w:eastAsia="uk-UA"/>
        </w:rPr>
      </w:pPr>
      <w:r w:rsidRPr="00CA13BC">
        <w:rPr>
          <w:rStyle w:val="14"/>
          <w:rFonts w:eastAsia="Courier New"/>
          <w:color w:val="000000"/>
          <w:szCs w:val="24"/>
          <w:lang w:eastAsia="uk-UA"/>
        </w:rPr>
        <w:t>Керівництво вважає, що воно вживає всі необхідні заходи для забезпечення стійкості бізнесу товариства в нинішніх умовах. Однак, несподівані погіршення в економіці можуть негативно впливати на результати діяльності і фінансове становище. Ефект такого потенційно негативного впливу не може бути достовірно оцінений.</w:t>
      </w:r>
    </w:p>
    <w:p w:rsidR="003A7506" w:rsidRDefault="003A7506" w:rsidP="003A7506">
      <w:pPr>
        <w:ind w:firstLine="567"/>
        <w:jc w:val="both"/>
        <w:rPr>
          <w:rStyle w:val="14"/>
          <w:rFonts w:eastAsia="Courier New"/>
          <w:color w:val="000000"/>
          <w:szCs w:val="24"/>
          <w:lang w:eastAsia="uk-UA"/>
        </w:rPr>
      </w:pPr>
      <w:r w:rsidRPr="00CA13BC">
        <w:rPr>
          <w:rStyle w:val="14"/>
          <w:rFonts w:eastAsia="Courier New"/>
          <w:color w:val="000000"/>
          <w:szCs w:val="24"/>
          <w:lang w:eastAsia="uk-UA"/>
        </w:rPr>
        <w:t>Девальвація національної валюти призвела до тиску на індекс споживчих цін. Офіційний рівень інфляції в Україні за 2019 рік склав 4.1%.</w:t>
      </w:r>
    </w:p>
    <w:p w:rsidR="00AD5667" w:rsidRPr="004035A4" w:rsidRDefault="00AD5667" w:rsidP="00DC2A23">
      <w:pPr>
        <w:ind w:firstLine="567"/>
        <w:jc w:val="both"/>
        <w:rPr>
          <w:b/>
        </w:rPr>
      </w:pPr>
    </w:p>
    <w:p w:rsidR="00AD5667" w:rsidRPr="004035A4" w:rsidRDefault="00AD5667" w:rsidP="00DC2A23">
      <w:pPr>
        <w:ind w:firstLine="567"/>
        <w:jc w:val="both"/>
        <w:rPr>
          <w:b/>
        </w:rPr>
      </w:pPr>
      <w:r w:rsidRPr="004035A4">
        <w:rPr>
          <w:b/>
        </w:rPr>
        <w:t xml:space="preserve">6. Окремі елементи фінансової </w:t>
      </w:r>
      <w:r w:rsidRPr="004D7AFF">
        <w:rPr>
          <w:b/>
        </w:rPr>
        <w:t>звітності</w:t>
      </w:r>
      <w:r w:rsidR="005A440B" w:rsidRPr="004D7AFF">
        <w:rPr>
          <w:b/>
        </w:rPr>
        <w:t xml:space="preserve"> та розкриття</w:t>
      </w:r>
      <w:r w:rsidR="005A440B">
        <w:rPr>
          <w:b/>
        </w:rPr>
        <w:t xml:space="preserve"> </w:t>
      </w:r>
      <w:r w:rsidR="005A440B" w:rsidRPr="00FB6615">
        <w:rPr>
          <w:b/>
        </w:rPr>
        <w:t xml:space="preserve"> </w:t>
      </w:r>
      <w:r w:rsidRPr="004035A4">
        <w:rPr>
          <w:b/>
        </w:rPr>
        <w:t>за 201</w:t>
      </w:r>
      <w:r w:rsidR="001776E9">
        <w:rPr>
          <w:b/>
        </w:rPr>
        <w:t>9</w:t>
      </w:r>
      <w:r w:rsidRPr="004035A4">
        <w:rPr>
          <w:b/>
        </w:rPr>
        <w:t xml:space="preserve"> рік.</w:t>
      </w:r>
    </w:p>
    <w:p w:rsidR="001A7801" w:rsidRDefault="001A7801" w:rsidP="001A7801">
      <w:pPr>
        <w:ind w:firstLine="567"/>
        <w:rPr>
          <w:szCs w:val="24"/>
        </w:rPr>
      </w:pPr>
      <w:r w:rsidRPr="001A7801">
        <w:rPr>
          <w:b/>
          <w:szCs w:val="24"/>
        </w:rPr>
        <w:t xml:space="preserve">6.1. </w:t>
      </w:r>
      <w:r w:rsidR="000347EB" w:rsidRPr="001A7801">
        <w:rPr>
          <w:b/>
          <w:szCs w:val="24"/>
        </w:rPr>
        <w:t>Фінансовий стан товариства</w:t>
      </w:r>
      <w:r w:rsidR="000347EB" w:rsidRPr="004035A4">
        <w:rPr>
          <w:szCs w:val="24"/>
        </w:rPr>
        <w:t xml:space="preserve"> </w:t>
      </w:r>
    </w:p>
    <w:p w:rsidR="000347EB" w:rsidRPr="004035A4" w:rsidRDefault="000347EB" w:rsidP="000347EB">
      <w:pPr>
        <w:rPr>
          <w:szCs w:val="24"/>
        </w:rPr>
      </w:pPr>
      <w:r w:rsidRPr="004035A4">
        <w:rPr>
          <w:szCs w:val="24"/>
        </w:rPr>
        <w:t>згідно фінансової звітності за 201</w:t>
      </w:r>
      <w:r w:rsidR="001776E9">
        <w:rPr>
          <w:szCs w:val="24"/>
        </w:rPr>
        <w:t>9</w:t>
      </w:r>
      <w:r w:rsidRPr="004035A4">
        <w:rPr>
          <w:szCs w:val="24"/>
        </w:rPr>
        <w:t xml:space="preserve"> рік за МСФЗ:</w:t>
      </w:r>
    </w:p>
    <w:p w:rsidR="000347EB" w:rsidRPr="004035A4" w:rsidRDefault="000347EB" w:rsidP="000347EB">
      <w:pPr>
        <w:jc w:val="right"/>
        <w:rPr>
          <w:szCs w:val="24"/>
        </w:rPr>
      </w:pPr>
      <w:r w:rsidRPr="004035A4">
        <w:rPr>
          <w:szCs w:val="24"/>
        </w:rPr>
        <w:t>Тис грн</w:t>
      </w:r>
    </w:p>
    <w:tbl>
      <w:tblPr>
        <w:tblW w:w="9533" w:type="dxa"/>
        <w:tblInd w:w="35" w:type="dxa"/>
        <w:tblLayout w:type="fixed"/>
        <w:tblLook w:val="0000"/>
      </w:tblPr>
      <w:tblGrid>
        <w:gridCol w:w="5023"/>
        <w:gridCol w:w="1430"/>
        <w:gridCol w:w="1540"/>
        <w:gridCol w:w="1540"/>
      </w:tblGrid>
      <w:tr w:rsidR="000347EB" w:rsidRPr="004035A4">
        <w:tc>
          <w:tcPr>
            <w:tcW w:w="5023" w:type="dxa"/>
            <w:tcBorders>
              <w:top w:val="single" w:sz="4" w:space="0" w:color="000000"/>
              <w:left w:val="single" w:sz="4" w:space="0" w:color="000000"/>
              <w:bottom w:val="single" w:sz="4" w:space="0" w:color="000000"/>
            </w:tcBorders>
            <w:shd w:val="clear" w:color="auto" w:fill="auto"/>
          </w:tcPr>
          <w:p w:rsidR="000347EB" w:rsidRPr="004035A4" w:rsidRDefault="000347EB" w:rsidP="0049337B">
            <w:pPr>
              <w:autoSpaceDE w:val="0"/>
              <w:snapToGrid w:val="0"/>
              <w:ind w:right="28"/>
              <w:jc w:val="center"/>
              <w:rPr>
                <w:b/>
                <w:sz w:val="20"/>
              </w:rPr>
            </w:pPr>
            <w:r w:rsidRPr="004035A4">
              <w:rPr>
                <w:b/>
                <w:sz w:val="20"/>
              </w:rPr>
              <w:t>Статті балансу</w:t>
            </w:r>
          </w:p>
        </w:tc>
        <w:tc>
          <w:tcPr>
            <w:tcW w:w="1430" w:type="dxa"/>
            <w:tcBorders>
              <w:top w:val="single" w:sz="4" w:space="0" w:color="000000"/>
              <w:left w:val="single" w:sz="4" w:space="0" w:color="000000"/>
              <w:bottom w:val="single" w:sz="4" w:space="0" w:color="000000"/>
            </w:tcBorders>
            <w:shd w:val="clear" w:color="auto" w:fill="auto"/>
          </w:tcPr>
          <w:p w:rsidR="000347EB" w:rsidRPr="004035A4" w:rsidRDefault="000347EB" w:rsidP="001776E9">
            <w:pPr>
              <w:autoSpaceDE w:val="0"/>
              <w:snapToGrid w:val="0"/>
              <w:ind w:right="28"/>
              <w:jc w:val="both"/>
              <w:rPr>
                <w:b/>
                <w:sz w:val="20"/>
              </w:rPr>
            </w:pPr>
            <w:r w:rsidRPr="004035A4">
              <w:rPr>
                <w:b/>
                <w:sz w:val="20"/>
              </w:rPr>
              <w:t xml:space="preserve">На </w:t>
            </w:r>
            <w:r w:rsidR="0026355B" w:rsidRPr="004035A4">
              <w:rPr>
                <w:b/>
                <w:sz w:val="20"/>
              </w:rPr>
              <w:t>3</w:t>
            </w:r>
            <w:r w:rsidRPr="004035A4">
              <w:rPr>
                <w:b/>
                <w:sz w:val="20"/>
              </w:rPr>
              <w:t>1.1</w:t>
            </w:r>
            <w:r w:rsidR="0026355B" w:rsidRPr="004035A4">
              <w:rPr>
                <w:b/>
                <w:sz w:val="20"/>
              </w:rPr>
              <w:t>2</w:t>
            </w:r>
            <w:r w:rsidRPr="004035A4">
              <w:rPr>
                <w:b/>
                <w:sz w:val="20"/>
              </w:rPr>
              <w:t>.1</w:t>
            </w:r>
            <w:r w:rsidR="001776E9">
              <w:rPr>
                <w:b/>
                <w:sz w:val="20"/>
              </w:rPr>
              <w:t>7</w:t>
            </w:r>
          </w:p>
        </w:tc>
        <w:tc>
          <w:tcPr>
            <w:tcW w:w="1540" w:type="dxa"/>
            <w:tcBorders>
              <w:top w:val="single" w:sz="4" w:space="0" w:color="000000"/>
              <w:left w:val="single" w:sz="4" w:space="0" w:color="000000"/>
              <w:bottom w:val="single" w:sz="4" w:space="0" w:color="000000"/>
            </w:tcBorders>
            <w:shd w:val="clear" w:color="auto" w:fill="auto"/>
          </w:tcPr>
          <w:p w:rsidR="000347EB" w:rsidRPr="004035A4" w:rsidRDefault="000347EB" w:rsidP="001776E9">
            <w:pPr>
              <w:autoSpaceDE w:val="0"/>
              <w:snapToGrid w:val="0"/>
              <w:ind w:right="28"/>
              <w:jc w:val="both"/>
              <w:rPr>
                <w:b/>
                <w:sz w:val="20"/>
              </w:rPr>
            </w:pPr>
            <w:r w:rsidRPr="004035A4">
              <w:rPr>
                <w:b/>
                <w:sz w:val="20"/>
              </w:rPr>
              <w:t>На 31.12.1</w:t>
            </w:r>
            <w:r w:rsidR="001776E9">
              <w:rPr>
                <w:b/>
                <w:sz w:val="20"/>
              </w:rPr>
              <w:t>8</w:t>
            </w:r>
            <w:r w:rsidRPr="004035A4">
              <w:rPr>
                <w:b/>
                <w:sz w:val="20"/>
              </w:rPr>
              <w:t xml:space="preserve"> </w:t>
            </w:r>
          </w:p>
        </w:tc>
        <w:tc>
          <w:tcPr>
            <w:tcW w:w="1540" w:type="dxa"/>
            <w:tcBorders>
              <w:top w:val="single" w:sz="4" w:space="0" w:color="000000"/>
              <w:left w:val="single" w:sz="4" w:space="0" w:color="000000"/>
              <w:bottom w:val="single" w:sz="4" w:space="0" w:color="000000"/>
            </w:tcBorders>
            <w:shd w:val="clear" w:color="auto" w:fill="auto"/>
          </w:tcPr>
          <w:p w:rsidR="000347EB" w:rsidRPr="004035A4" w:rsidRDefault="000347EB" w:rsidP="001776E9">
            <w:pPr>
              <w:autoSpaceDE w:val="0"/>
              <w:snapToGrid w:val="0"/>
              <w:ind w:left="-25" w:right="-126"/>
              <w:jc w:val="both"/>
              <w:rPr>
                <w:b/>
                <w:sz w:val="20"/>
              </w:rPr>
            </w:pPr>
            <w:r w:rsidRPr="004035A4">
              <w:rPr>
                <w:b/>
                <w:sz w:val="20"/>
              </w:rPr>
              <w:t>На 31.12.1</w:t>
            </w:r>
            <w:r w:rsidR="001776E9">
              <w:rPr>
                <w:b/>
                <w:sz w:val="20"/>
              </w:rPr>
              <w:t>9</w:t>
            </w:r>
          </w:p>
        </w:tc>
      </w:tr>
      <w:tr w:rsidR="000347EB" w:rsidRPr="004035A4">
        <w:tc>
          <w:tcPr>
            <w:tcW w:w="5023" w:type="dxa"/>
            <w:tcBorders>
              <w:top w:val="single" w:sz="4" w:space="0" w:color="000000"/>
              <w:left w:val="single" w:sz="4" w:space="0" w:color="000000"/>
              <w:bottom w:val="single" w:sz="4" w:space="0" w:color="000000"/>
            </w:tcBorders>
            <w:shd w:val="clear" w:color="auto" w:fill="auto"/>
          </w:tcPr>
          <w:p w:rsidR="000347EB" w:rsidRPr="004035A4" w:rsidRDefault="000347EB" w:rsidP="0049337B">
            <w:pPr>
              <w:autoSpaceDE w:val="0"/>
              <w:snapToGrid w:val="0"/>
              <w:ind w:right="28"/>
              <w:jc w:val="center"/>
              <w:rPr>
                <w:b/>
                <w:szCs w:val="22"/>
              </w:rPr>
            </w:pPr>
            <w:r w:rsidRPr="004035A4">
              <w:rPr>
                <w:b/>
                <w:szCs w:val="22"/>
              </w:rPr>
              <w:t>1</w:t>
            </w:r>
          </w:p>
        </w:tc>
        <w:tc>
          <w:tcPr>
            <w:tcW w:w="1430" w:type="dxa"/>
            <w:tcBorders>
              <w:top w:val="single" w:sz="4" w:space="0" w:color="000000"/>
              <w:left w:val="single" w:sz="4" w:space="0" w:color="000000"/>
              <w:bottom w:val="single" w:sz="4" w:space="0" w:color="000000"/>
            </w:tcBorders>
            <w:shd w:val="clear" w:color="auto" w:fill="auto"/>
          </w:tcPr>
          <w:p w:rsidR="000347EB" w:rsidRPr="004035A4" w:rsidRDefault="000347EB" w:rsidP="0049337B">
            <w:pPr>
              <w:autoSpaceDE w:val="0"/>
              <w:snapToGrid w:val="0"/>
              <w:ind w:right="28"/>
              <w:jc w:val="center"/>
              <w:rPr>
                <w:b/>
                <w:szCs w:val="22"/>
              </w:rPr>
            </w:pPr>
            <w:r w:rsidRPr="004035A4">
              <w:rPr>
                <w:b/>
                <w:szCs w:val="22"/>
              </w:rPr>
              <w:t>2</w:t>
            </w:r>
          </w:p>
        </w:tc>
        <w:tc>
          <w:tcPr>
            <w:tcW w:w="1540" w:type="dxa"/>
            <w:tcBorders>
              <w:top w:val="single" w:sz="4" w:space="0" w:color="000000"/>
              <w:left w:val="single" w:sz="4" w:space="0" w:color="000000"/>
              <w:bottom w:val="single" w:sz="4" w:space="0" w:color="000000"/>
            </w:tcBorders>
            <w:shd w:val="clear" w:color="auto" w:fill="auto"/>
          </w:tcPr>
          <w:p w:rsidR="000347EB" w:rsidRPr="004035A4" w:rsidRDefault="000347EB" w:rsidP="0049337B">
            <w:pPr>
              <w:autoSpaceDE w:val="0"/>
              <w:snapToGrid w:val="0"/>
              <w:ind w:right="28"/>
              <w:jc w:val="center"/>
              <w:rPr>
                <w:b/>
                <w:szCs w:val="22"/>
              </w:rPr>
            </w:pPr>
            <w:r w:rsidRPr="004035A4">
              <w:rPr>
                <w:b/>
                <w:szCs w:val="22"/>
              </w:rPr>
              <w:t>3</w:t>
            </w:r>
          </w:p>
        </w:tc>
        <w:tc>
          <w:tcPr>
            <w:tcW w:w="1540" w:type="dxa"/>
            <w:tcBorders>
              <w:top w:val="single" w:sz="4" w:space="0" w:color="000000"/>
              <w:left w:val="single" w:sz="4" w:space="0" w:color="000000"/>
              <w:bottom w:val="single" w:sz="4" w:space="0" w:color="000000"/>
            </w:tcBorders>
            <w:shd w:val="clear" w:color="auto" w:fill="auto"/>
          </w:tcPr>
          <w:p w:rsidR="000347EB" w:rsidRPr="004035A4" w:rsidRDefault="000347EB" w:rsidP="0049337B">
            <w:pPr>
              <w:autoSpaceDE w:val="0"/>
              <w:snapToGrid w:val="0"/>
              <w:ind w:right="28"/>
              <w:jc w:val="center"/>
              <w:rPr>
                <w:b/>
                <w:szCs w:val="22"/>
              </w:rPr>
            </w:pPr>
            <w:r w:rsidRPr="004035A4">
              <w:rPr>
                <w:b/>
                <w:szCs w:val="22"/>
              </w:rPr>
              <w:t>4</w:t>
            </w:r>
          </w:p>
        </w:tc>
      </w:tr>
      <w:tr w:rsidR="00AA7664" w:rsidRPr="004035A4" w:rsidTr="001A7801">
        <w:trPr>
          <w:trHeight w:val="64"/>
        </w:trPr>
        <w:tc>
          <w:tcPr>
            <w:tcW w:w="5023" w:type="dxa"/>
            <w:tcBorders>
              <w:left w:val="single" w:sz="4" w:space="0" w:color="000000"/>
              <w:bottom w:val="single" w:sz="4" w:space="0" w:color="000000"/>
            </w:tcBorders>
            <w:shd w:val="clear" w:color="auto" w:fill="auto"/>
          </w:tcPr>
          <w:p w:rsidR="00AA7664" w:rsidRPr="004035A4" w:rsidRDefault="00AA7664" w:rsidP="0049337B">
            <w:pPr>
              <w:autoSpaceDE w:val="0"/>
              <w:snapToGrid w:val="0"/>
              <w:ind w:right="28"/>
              <w:jc w:val="center"/>
              <w:rPr>
                <w:szCs w:val="22"/>
              </w:rPr>
            </w:pPr>
            <w:r w:rsidRPr="004035A4">
              <w:rPr>
                <w:szCs w:val="22"/>
              </w:rPr>
              <w:t>Актив</w:t>
            </w:r>
          </w:p>
        </w:tc>
        <w:tc>
          <w:tcPr>
            <w:tcW w:w="1430" w:type="dxa"/>
            <w:tcBorders>
              <w:left w:val="single" w:sz="4" w:space="0" w:color="000000"/>
              <w:bottom w:val="single" w:sz="4" w:space="0" w:color="000000"/>
            </w:tcBorders>
            <w:shd w:val="clear" w:color="auto" w:fill="auto"/>
          </w:tcPr>
          <w:p w:rsidR="00AA7664" w:rsidRPr="004035A4" w:rsidRDefault="00AA7664" w:rsidP="00E17EB6">
            <w:pPr>
              <w:autoSpaceDE w:val="0"/>
              <w:snapToGrid w:val="0"/>
              <w:ind w:right="28"/>
              <w:jc w:val="center"/>
              <w:rPr>
                <w:szCs w:val="22"/>
              </w:rPr>
            </w:pPr>
          </w:p>
        </w:tc>
        <w:tc>
          <w:tcPr>
            <w:tcW w:w="1540" w:type="dxa"/>
            <w:tcBorders>
              <w:left w:val="single" w:sz="4" w:space="0" w:color="000000"/>
              <w:bottom w:val="single" w:sz="4" w:space="0" w:color="000000"/>
            </w:tcBorders>
            <w:shd w:val="clear" w:color="auto" w:fill="auto"/>
          </w:tcPr>
          <w:p w:rsidR="00AA7664" w:rsidRPr="004035A4" w:rsidRDefault="00AA7664" w:rsidP="00E17EB6">
            <w:pPr>
              <w:autoSpaceDE w:val="0"/>
              <w:snapToGrid w:val="0"/>
              <w:ind w:right="28"/>
              <w:jc w:val="center"/>
              <w:rPr>
                <w:szCs w:val="22"/>
              </w:rPr>
            </w:pPr>
          </w:p>
        </w:tc>
        <w:tc>
          <w:tcPr>
            <w:tcW w:w="1540" w:type="dxa"/>
            <w:tcBorders>
              <w:left w:val="single" w:sz="4" w:space="0" w:color="000000"/>
              <w:bottom w:val="single" w:sz="4" w:space="0" w:color="000000"/>
            </w:tcBorders>
            <w:shd w:val="clear" w:color="auto" w:fill="auto"/>
          </w:tcPr>
          <w:p w:rsidR="00AA7664" w:rsidRPr="001A7801" w:rsidRDefault="00AA7664" w:rsidP="0049337B">
            <w:pPr>
              <w:autoSpaceDE w:val="0"/>
              <w:snapToGrid w:val="0"/>
              <w:ind w:right="28"/>
              <w:jc w:val="center"/>
              <w:rPr>
                <w:szCs w:val="22"/>
                <w:highlight w:val="yellow"/>
              </w:rPr>
            </w:pP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snapToGrid w:val="0"/>
              <w:jc w:val="center"/>
              <w:rPr>
                <w:bCs/>
                <w:szCs w:val="22"/>
              </w:rPr>
            </w:pPr>
            <w:r w:rsidRPr="004035A4">
              <w:rPr>
                <w:bCs/>
                <w:szCs w:val="22"/>
              </w:rPr>
              <w:t>I. Необоротні активи</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r w:rsidRPr="004035A4">
              <w:rPr>
                <w:sz w:val="22"/>
                <w:szCs w:val="22"/>
              </w:rPr>
              <w:t>137</w:t>
            </w: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1776E9">
            <w:pPr>
              <w:autoSpaceDE w:val="0"/>
              <w:snapToGrid w:val="0"/>
              <w:ind w:right="28"/>
              <w:jc w:val="center"/>
              <w:rPr>
                <w:sz w:val="22"/>
                <w:szCs w:val="22"/>
              </w:rPr>
            </w:pPr>
            <w:r>
              <w:rPr>
                <w:sz w:val="22"/>
                <w:szCs w:val="22"/>
              </w:rPr>
              <w:t>1</w:t>
            </w:r>
            <w:r w:rsidR="001776E9">
              <w:rPr>
                <w:sz w:val="22"/>
                <w:szCs w:val="22"/>
              </w:rPr>
              <w:t>18</w:t>
            </w: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776E9" w:rsidP="001776E9">
            <w:pPr>
              <w:autoSpaceDE w:val="0"/>
              <w:snapToGrid w:val="0"/>
              <w:ind w:right="28"/>
              <w:jc w:val="center"/>
              <w:rPr>
                <w:sz w:val="22"/>
                <w:szCs w:val="22"/>
              </w:rPr>
            </w:pPr>
            <w:r>
              <w:rPr>
                <w:sz w:val="22"/>
                <w:szCs w:val="22"/>
              </w:rPr>
              <w:t>85</w:t>
            </w: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rPr>
                <w:bCs/>
                <w:szCs w:val="22"/>
              </w:rPr>
            </w:pPr>
            <w:r w:rsidRPr="004035A4">
              <w:rPr>
                <w:bCs/>
                <w:szCs w:val="22"/>
              </w:rPr>
              <w:t>Усього за розділом I</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A7801" w:rsidP="000E1DFA">
            <w:pPr>
              <w:autoSpaceDE w:val="0"/>
              <w:snapToGrid w:val="0"/>
              <w:ind w:right="28"/>
              <w:jc w:val="center"/>
              <w:rPr>
                <w:sz w:val="22"/>
                <w:szCs w:val="22"/>
              </w:rPr>
            </w:pP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jc w:val="center"/>
              <w:rPr>
                <w:bCs/>
                <w:szCs w:val="22"/>
              </w:rPr>
            </w:pPr>
            <w:r w:rsidRPr="004035A4">
              <w:rPr>
                <w:bCs/>
                <w:szCs w:val="22"/>
              </w:rPr>
              <w:t>II. Оборотні активи</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1776E9">
            <w:pPr>
              <w:autoSpaceDE w:val="0"/>
              <w:snapToGrid w:val="0"/>
              <w:ind w:right="28"/>
              <w:jc w:val="center"/>
              <w:rPr>
                <w:sz w:val="22"/>
                <w:szCs w:val="22"/>
              </w:rPr>
            </w:pPr>
            <w:r w:rsidRPr="004035A4">
              <w:rPr>
                <w:sz w:val="22"/>
                <w:szCs w:val="22"/>
              </w:rPr>
              <w:t>15</w:t>
            </w:r>
            <w:r w:rsidR="001776E9">
              <w:rPr>
                <w:sz w:val="22"/>
                <w:szCs w:val="22"/>
              </w:rPr>
              <w:t>86</w:t>
            </w: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1776E9">
            <w:pPr>
              <w:autoSpaceDE w:val="0"/>
              <w:snapToGrid w:val="0"/>
              <w:ind w:right="28"/>
              <w:jc w:val="center"/>
              <w:rPr>
                <w:sz w:val="22"/>
                <w:szCs w:val="22"/>
              </w:rPr>
            </w:pPr>
            <w:r>
              <w:rPr>
                <w:sz w:val="22"/>
                <w:szCs w:val="22"/>
              </w:rPr>
              <w:t>16</w:t>
            </w:r>
            <w:r w:rsidR="001776E9">
              <w:rPr>
                <w:sz w:val="22"/>
                <w:szCs w:val="22"/>
              </w:rPr>
              <w:t>59</w:t>
            </w: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5E709E" w:rsidP="001776E9">
            <w:pPr>
              <w:autoSpaceDE w:val="0"/>
              <w:snapToGrid w:val="0"/>
              <w:ind w:right="28"/>
              <w:jc w:val="center"/>
              <w:rPr>
                <w:sz w:val="22"/>
                <w:szCs w:val="22"/>
              </w:rPr>
            </w:pPr>
            <w:r w:rsidRPr="005E709E">
              <w:rPr>
                <w:sz w:val="22"/>
                <w:szCs w:val="22"/>
              </w:rPr>
              <w:t>1</w:t>
            </w:r>
            <w:r w:rsidR="001776E9">
              <w:rPr>
                <w:sz w:val="22"/>
                <w:szCs w:val="22"/>
              </w:rPr>
              <w:t>719</w:t>
            </w: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rPr>
                <w:bCs/>
                <w:szCs w:val="22"/>
              </w:rPr>
            </w:pPr>
            <w:r w:rsidRPr="004035A4">
              <w:rPr>
                <w:bCs/>
                <w:szCs w:val="22"/>
              </w:rPr>
              <w:t>Усього за розділом II</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A7801" w:rsidP="000E1DFA">
            <w:pPr>
              <w:autoSpaceDE w:val="0"/>
              <w:snapToGrid w:val="0"/>
              <w:ind w:right="28"/>
              <w:jc w:val="center"/>
              <w:rPr>
                <w:sz w:val="22"/>
                <w:szCs w:val="22"/>
              </w:rPr>
            </w:pP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jc w:val="center"/>
              <w:rPr>
                <w:bCs/>
                <w:szCs w:val="22"/>
              </w:rPr>
            </w:pPr>
            <w:r w:rsidRPr="004035A4">
              <w:rPr>
                <w:bCs/>
                <w:szCs w:val="22"/>
              </w:rPr>
              <w:t>III. Необоротні активи, утримувані для продажу, та групи вибуття</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A7801" w:rsidP="000E1DFA">
            <w:pPr>
              <w:autoSpaceDE w:val="0"/>
              <w:snapToGrid w:val="0"/>
              <w:ind w:right="28"/>
              <w:jc w:val="center"/>
              <w:rPr>
                <w:sz w:val="22"/>
                <w:szCs w:val="22"/>
              </w:rPr>
            </w:pPr>
          </w:p>
        </w:tc>
      </w:tr>
      <w:tr w:rsidR="001A7801" w:rsidRPr="004035A4" w:rsidTr="00E17EB6">
        <w:tc>
          <w:tcPr>
            <w:tcW w:w="5023" w:type="dxa"/>
            <w:tcBorders>
              <w:top w:val="single" w:sz="4" w:space="0" w:color="000000"/>
              <w:left w:val="single" w:sz="4" w:space="0" w:color="000000"/>
              <w:bottom w:val="single" w:sz="4" w:space="0" w:color="000000"/>
            </w:tcBorders>
            <w:shd w:val="clear" w:color="auto" w:fill="D9D9D9"/>
            <w:vAlign w:val="center"/>
          </w:tcPr>
          <w:p w:rsidR="001A7801" w:rsidRPr="004035A4" w:rsidRDefault="001A7801" w:rsidP="0049337B">
            <w:pPr>
              <w:rPr>
                <w:b/>
                <w:bCs/>
                <w:szCs w:val="22"/>
              </w:rPr>
            </w:pPr>
            <w:r w:rsidRPr="004035A4">
              <w:rPr>
                <w:b/>
                <w:bCs/>
                <w:szCs w:val="22"/>
              </w:rPr>
              <w:t>Баланс</w:t>
            </w:r>
          </w:p>
        </w:tc>
        <w:tc>
          <w:tcPr>
            <w:tcW w:w="1430" w:type="dxa"/>
            <w:tcBorders>
              <w:top w:val="single" w:sz="4" w:space="0" w:color="000000"/>
              <w:left w:val="single" w:sz="4" w:space="0" w:color="000000"/>
              <w:bottom w:val="single" w:sz="4" w:space="0" w:color="000000"/>
            </w:tcBorders>
            <w:shd w:val="clear" w:color="auto" w:fill="D9D9D9"/>
          </w:tcPr>
          <w:p w:rsidR="001A7801" w:rsidRPr="004035A4" w:rsidRDefault="001A7801" w:rsidP="001776E9">
            <w:pPr>
              <w:autoSpaceDE w:val="0"/>
              <w:snapToGrid w:val="0"/>
              <w:ind w:right="28"/>
              <w:jc w:val="center"/>
              <w:rPr>
                <w:sz w:val="22"/>
                <w:szCs w:val="22"/>
              </w:rPr>
            </w:pPr>
            <w:r w:rsidRPr="004035A4">
              <w:rPr>
                <w:sz w:val="22"/>
                <w:szCs w:val="22"/>
              </w:rPr>
              <w:t>1</w:t>
            </w:r>
            <w:r w:rsidR="001776E9">
              <w:rPr>
                <w:sz w:val="22"/>
                <w:szCs w:val="22"/>
              </w:rPr>
              <w:t>723</w:t>
            </w:r>
          </w:p>
        </w:tc>
        <w:tc>
          <w:tcPr>
            <w:tcW w:w="1540" w:type="dxa"/>
            <w:tcBorders>
              <w:top w:val="single" w:sz="4" w:space="0" w:color="000000"/>
              <w:left w:val="single" w:sz="4" w:space="0" w:color="000000"/>
              <w:bottom w:val="single" w:sz="4" w:space="0" w:color="000000"/>
            </w:tcBorders>
            <w:shd w:val="clear" w:color="auto" w:fill="D9D9D9"/>
          </w:tcPr>
          <w:p w:rsidR="001A7801" w:rsidRPr="004035A4" w:rsidRDefault="001A7801" w:rsidP="001776E9">
            <w:pPr>
              <w:autoSpaceDE w:val="0"/>
              <w:snapToGrid w:val="0"/>
              <w:ind w:right="28"/>
              <w:jc w:val="center"/>
              <w:rPr>
                <w:sz w:val="22"/>
                <w:szCs w:val="22"/>
              </w:rPr>
            </w:pPr>
            <w:r>
              <w:rPr>
                <w:sz w:val="22"/>
                <w:szCs w:val="22"/>
              </w:rPr>
              <w:t>17</w:t>
            </w:r>
            <w:r w:rsidR="001776E9">
              <w:rPr>
                <w:sz w:val="22"/>
                <w:szCs w:val="22"/>
              </w:rPr>
              <w:t>77</w:t>
            </w:r>
          </w:p>
        </w:tc>
        <w:tc>
          <w:tcPr>
            <w:tcW w:w="1540" w:type="dxa"/>
            <w:tcBorders>
              <w:top w:val="single" w:sz="4" w:space="0" w:color="000000"/>
              <w:left w:val="single" w:sz="4" w:space="0" w:color="000000"/>
              <w:bottom w:val="single" w:sz="4" w:space="0" w:color="000000"/>
            </w:tcBorders>
            <w:shd w:val="clear" w:color="auto" w:fill="D9D9D9"/>
          </w:tcPr>
          <w:p w:rsidR="001A7801" w:rsidRPr="005E709E" w:rsidRDefault="005E709E" w:rsidP="001776E9">
            <w:pPr>
              <w:autoSpaceDE w:val="0"/>
              <w:snapToGrid w:val="0"/>
              <w:ind w:right="28"/>
              <w:jc w:val="center"/>
              <w:rPr>
                <w:sz w:val="22"/>
                <w:szCs w:val="22"/>
              </w:rPr>
            </w:pPr>
            <w:r w:rsidRPr="005E709E">
              <w:rPr>
                <w:sz w:val="22"/>
                <w:szCs w:val="22"/>
              </w:rPr>
              <w:t>1</w:t>
            </w:r>
            <w:r w:rsidR="001776E9">
              <w:rPr>
                <w:sz w:val="22"/>
                <w:szCs w:val="22"/>
              </w:rPr>
              <w:t>804</w:t>
            </w: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jc w:val="center"/>
              <w:rPr>
                <w:bCs/>
                <w:szCs w:val="22"/>
              </w:rPr>
            </w:pPr>
            <w:r w:rsidRPr="004035A4">
              <w:rPr>
                <w:bCs/>
                <w:szCs w:val="22"/>
              </w:rPr>
              <w:t>I. Власний капітал</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1776E9">
            <w:pPr>
              <w:autoSpaceDE w:val="0"/>
              <w:snapToGrid w:val="0"/>
              <w:ind w:right="28"/>
              <w:jc w:val="center"/>
              <w:rPr>
                <w:sz w:val="22"/>
                <w:szCs w:val="22"/>
              </w:rPr>
            </w:pPr>
            <w:r w:rsidRPr="004035A4">
              <w:rPr>
                <w:sz w:val="22"/>
                <w:szCs w:val="22"/>
              </w:rPr>
              <w:t>1</w:t>
            </w:r>
            <w:r w:rsidR="001776E9">
              <w:rPr>
                <w:sz w:val="22"/>
                <w:szCs w:val="22"/>
              </w:rPr>
              <w:t>716</w:t>
            </w: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776E9" w:rsidP="007E7EBF">
            <w:pPr>
              <w:autoSpaceDE w:val="0"/>
              <w:snapToGrid w:val="0"/>
              <w:ind w:right="28"/>
              <w:jc w:val="center"/>
              <w:rPr>
                <w:sz w:val="22"/>
                <w:szCs w:val="22"/>
              </w:rPr>
            </w:pPr>
            <w:r>
              <w:rPr>
                <w:sz w:val="22"/>
                <w:szCs w:val="22"/>
              </w:rPr>
              <w:t>176</w:t>
            </w:r>
            <w:r w:rsidR="001A7801">
              <w:rPr>
                <w:sz w:val="22"/>
                <w:szCs w:val="22"/>
              </w:rPr>
              <w:t>6</w:t>
            </w: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5E709E" w:rsidP="001776E9">
            <w:pPr>
              <w:autoSpaceDE w:val="0"/>
              <w:snapToGrid w:val="0"/>
              <w:ind w:right="28"/>
              <w:jc w:val="center"/>
              <w:rPr>
                <w:sz w:val="22"/>
                <w:szCs w:val="22"/>
              </w:rPr>
            </w:pPr>
            <w:r w:rsidRPr="005E709E">
              <w:rPr>
                <w:sz w:val="22"/>
                <w:szCs w:val="22"/>
              </w:rPr>
              <w:t>17</w:t>
            </w:r>
            <w:r w:rsidR="001776E9">
              <w:rPr>
                <w:sz w:val="22"/>
                <w:szCs w:val="22"/>
              </w:rPr>
              <w:t>97</w:t>
            </w: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rPr>
                <w:bCs/>
                <w:szCs w:val="22"/>
              </w:rPr>
            </w:pPr>
            <w:r w:rsidRPr="004035A4">
              <w:rPr>
                <w:bCs/>
                <w:szCs w:val="22"/>
              </w:rPr>
              <w:t>Усього за розділом I</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A7801" w:rsidP="000E1DFA">
            <w:pPr>
              <w:autoSpaceDE w:val="0"/>
              <w:snapToGrid w:val="0"/>
              <w:ind w:right="28"/>
              <w:jc w:val="center"/>
              <w:rPr>
                <w:sz w:val="22"/>
                <w:szCs w:val="22"/>
              </w:rPr>
            </w:pP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rPr>
                <w:bCs/>
                <w:szCs w:val="22"/>
              </w:rPr>
            </w:pPr>
            <w:r w:rsidRPr="004035A4">
              <w:rPr>
                <w:bCs/>
                <w:szCs w:val="22"/>
              </w:rPr>
              <w:t>II. Довгострокові зобов'язання і забезпечення</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A7801" w:rsidP="000E1DFA">
            <w:pPr>
              <w:autoSpaceDE w:val="0"/>
              <w:snapToGrid w:val="0"/>
              <w:ind w:right="28"/>
              <w:jc w:val="center"/>
              <w:rPr>
                <w:sz w:val="22"/>
                <w:szCs w:val="22"/>
              </w:rPr>
            </w:pP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snapToGrid w:val="0"/>
              <w:ind w:firstLine="107"/>
              <w:rPr>
                <w:szCs w:val="22"/>
              </w:rPr>
            </w:pPr>
            <w:r w:rsidRPr="004035A4">
              <w:rPr>
                <w:szCs w:val="22"/>
              </w:rPr>
              <w:t>IІІ. Поточні зобов'язання і забезпечення</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A7801" w:rsidP="000E1DFA">
            <w:pPr>
              <w:autoSpaceDE w:val="0"/>
              <w:snapToGrid w:val="0"/>
              <w:ind w:right="28"/>
              <w:jc w:val="center"/>
              <w:rPr>
                <w:sz w:val="22"/>
                <w:szCs w:val="22"/>
              </w:rPr>
            </w:pP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snapToGrid w:val="0"/>
              <w:ind w:firstLine="400"/>
              <w:rPr>
                <w:szCs w:val="22"/>
              </w:rPr>
            </w:pPr>
            <w:r w:rsidRPr="004035A4">
              <w:rPr>
                <w:szCs w:val="22"/>
              </w:rPr>
              <w:t>Усього за розділом IІІ</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776E9" w:rsidP="007E7EBF">
            <w:pPr>
              <w:autoSpaceDE w:val="0"/>
              <w:snapToGrid w:val="0"/>
              <w:ind w:right="28"/>
              <w:jc w:val="center"/>
              <w:rPr>
                <w:sz w:val="22"/>
                <w:szCs w:val="22"/>
              </w:rPr>
            </w:pPr>
            <w:r>
              <w:rPr>
                <w:sz w:val="22"/>
                <w:szCs w:val="22"/>
              </w:rPr>
              <w:t>7</w:t>
            </w: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776E9" w:rsidP="001776E9">
            <w:pPr>
              <w:autoSpaceDE w:val="0"/>
              <w:snapToGrid w:val="0"/>
              <w:ind w:right="28"/>
              <w:jc w:val="center"/>
              <w:rPr>
                <w:sz w:val="22"/>
                <w:szCs w:val="22"/>
              </w:rPr>
            </w:pPr>
            <w:r>
              <w:rPr>
                <w:sz w:val="22"/>
                <w:szCs w:val="22"/>
              </w:rPr>
              <w:t>11</w:t>
            </w: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776E9" w:rsidP="0026355B">
            <w:pPr>
              <w:autoSpaceDE w:val="0"/>
              <w:snapToGrid w:val="0"/>
              <w:ind w:right="28"/>
              <w:jc w:val="center"/>
              <w:rPr>
                <w:sz w:val="22"/>
                <w:szCs w:val="22"/>
              </w:rPr>
            </w:pPr>
            <w:r>
              <w:rPr>
                <w:sz w:val="22"/>
                <w:szCs w:val="22"/>
              </w:rPr>
              <w:t>7</w:t>
            </w:r>
          </w:p>
        </w:tc>
      </w:tr>
      <w:tr w:rsidR="001A7801" w:rsidRPr="004035A4" w:rsidTr="00E17EB6">
        <w:tc>
          <w:tcPr>
            <w:tcW w:w="5023" w:type="dxa"/>
            <w:tcBorders>
              <w:top w:val="single" w:sz="4" w:space="0" w:color="000000"/>
              <w:left w:val="single" w:sz="4" w:space="0" w:color="000000"/>
              <w:bottom w:val="single" w:sz="4" w:space="0" w:color="000000"/>
            </w:tcBorders>
            <w:shd w:val="clear" w:color="auto" w:fill="auto"/>
            <w:vAlign w:val="center"/>
          </w:tcPr>
          <w:p w:rsidR="001A7801" w:rsidRPr="004035A4" w:rsidRDefault="001A7801" w:rsidP="0049337B">
            <w:pPr>
              <w:rPr>
                <w:bCs/>
                <w:szCs w:val="22"/>
              </w:rPr>
            </w:pPr>
            <w:r w:rsidRPr="004035A4">
              <w:rPr>
                <w:bCs/>
                <w:szCs w:val="22"/>
              </w:rPr>
              <w:t>ІV. Зобов'язання, пов'язані з не оборот. активами,</w:t>
            </w:r>
          </w:p>
          <w:p w:rsidR="001A7801" w:rsidRPr="004035A4" w:rsidRDefault="001A7801" w:rsidP="0049337B">
            <w:pPr>
              <w:snapToGrid w:val="0"/>
              <w:rPr>
                <w:szCs w:val="22"/>
              </w:rPr>
            </w:pPr>
            <w:r w:rsidRPr="004035A4">
              <w:rPr>
                <w:szCs w:val="22"/>
              </w:rPr>
              <w:lastRenderedPageBreak/>
              <w:t>утрим. для продажу, та групами вибуття</w:t>
            </w:r>
          </w:p>
        </w:tc>
        <w:tc>
          <w:tcPr>
            <w:tcW w:w="143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4035A4" w:rsidRDefault="001A7801" w:rsidP="007E7EBF">
            <w:pPr>
              <w:autoSpaceDE w:val="0"/>
              <w:snapToGrid w:val="0"/>
              <w:ind w:right="28"/>
              <w:jc w:val="center"/>
              <w:rPr>
                <w:sz w:val="22"/>
                <w:szCs w:val="22"/>
              </w:rPr>
            </w:pPr>
          </w:p>
        </w:tc>
        <w:tc>
          <w:tcPr>
            <w:tcW w:w="1540" w:type="dxa"/>
            <w:tcBorders>
              <w:top w:val="single" w:sz="4" w:space="0" w:color="000000"/>
              <w:left w:val="single" w:sz="4" w:space="0" w:color="000000"/>
              <w:bottom w:val="single" w:sz="4" w:space="0" w:color="000000"/>
            </w:tcBorders>
            <w:shd w:val="clear" w:color="auto" w:fill="auto"/>
          </w:tcPr>
          <w:p w:rsidR="001A7801" w:rsidRPr="005E709E" w:rsidRDefault="001A7801" w:rsidP="000E1DFA">
            <w:pPr>
              <w:autoSpaceDE w:val="0"/>
              <w:snapToGrid w:val="0"/>
              <w:ind w:right="28"/>
              <w:jc w:val="center"/>
              <w:rPr>
                <w:sz w:val="22"/>
                <w:szCs w:val="22"/>
              </w:rPr>
            </w:pPr>
          </w:p>
        </w:tc>
      </w:tr>
      <w:tr w:rsidR="001A7801" w:rsidRPr="004035A4" w:rsidTr="00E17EB6">
        <w:tc>
          <w:tcPr>
            <w:tcW w:w="5023" w:type="dxa"/>
            <w:tcBorders>
              <w:top w:val="single" w:sz="4" w:space="0" w:color="000000"/>
              <w:left w:val="single" w:sz="4" w:space="0" w:color="000000"/>
              <w:bottom w:val="single" w:sz="4" w:space="0" w:color="000000"/>
            </w:tcBorders>
            <w:shd w:val="clear" w:color="auto" w:fill="D9D9D9"/>
            <w:vAlign w:val="center"/>
          </w:tcPr>
          <w:p w:rsidR="001A7801" w:rsidRPr="004035A4" w:rsidRDefault="001A7801" w:rsidP="0049337B">
            <w:pPr>
              <w:snapToGrid w:val="0"/>
              <w:ind w:firstLine="400"/>
              <w:rPr>
                <w:b/>
                <w:szCs w:val="22"/>
              </w:rPr>
            </w:pPr>
            <w:r w:rsidRPr="004035A4">
              <w:rPr>
                <w:b/>
                <w:szCs w:val="22"/>
              </w:rPr>
              <w:lastRenderedPageBreak/>
              <w:t>Баланс</w:t>
            </w:r>
          </w:p>
        </w:tc>
        <w:tc>
          <w:tcPr>
            <w:tcW w:w="1430" w:type="dxa"/>
            <w:tcBorders>
              <w:top w:val="single" w:sz="4" w:space="0" w:color="000000"/>
              <w:left w:val="single" w:sz="4" w:space="0" w:color="000000"/>
              <w:bottom w:val="single" w:sz="4" w:space="0" w:color="000000"/>
            </w:tcBorders>
            <w:shd w:val="clear" w:color="auto" w:fill="D9D9D9"/>
          </w:tcPr>
          <w:p w:rsidR="001A7801" w:rsidRPr="004035A4" w:rsidRDefault="001A7801" w:rsidP="001776E9">
            <w:pPr>
              <w:autoSpaceDE w:val="0"/>
              <w:snapToGrid w:val="0"/>
              <w:ind w:right="28"/>
              <w:jc w:val="center"/>
              <w:rPr>
                <w:sz w:val="22"/>
                <w:szCs w:val="22"/>
              </w:rPr>
            </w:pPr>
            <w:r w:rsidRPr="004035A4">
              <w:rPr>
                <w:sz w:val="22"/>
                <w:szCs w:val="22"/>
              </w:rPr>
              <w:t>1</w:t>
            </w:r>
            <w:r w:rsidR="001776E9">
              <w:rPr>
                <w:sz w:val="22"/>
                <w:szCs w:val="22"/>
              </w:rPr>
              <w:t>723</w:t>
            </w:r>
          </w:p>
        </w:tc>
        <w:tc>
          <w:tcPr>
            <w:tcW w:w="1540" w:type="dxa"/>
            <w:tcBorders>
              <w:top w:val="single" w:sz="4" w:space="0" w:color="000000"/>
              <w:left w:val="single" w:sz="4" w:space="0" w:color="000000"/>
              <w:bottom w:val="single" w:sz="4" w:space="0" w:color="000000"/>
            </w:tcBorders>
            <w:shd w:val="clear" w:color="auto" w:fill="D9D9D9"/>
          </w:tcPr>
          <w:p w:rsidR="001A7801" w:rsidRPr="004035A4" w:rsidRDefault="001A7801" w:rsidP="001776E9">
            <w:pPr>
              <w:autoSpaceDE w:val="0"/>
              <w:snapToGrid w:val="0"/>
              <w:ind w:right="28"/>
              <w:jc w:val="center"/>
              <w:rPr>
                <w:sz w:val="22"/>
                <w:szCs w:val="22"/>
              </w:rPr>
            </w:pPr>
            <w:r>
              <w:rPr>
                <w:sz w:val="22"/>
                <w:szCs w:val="22"/>
              </w:rPr>
              <w:t>17</w:t>
            </w:r>
            <w:r w:rsidR="001776E9">
              <w:rPr>
                <w:sz w:val="22"/>
                <w:szCs w:val="22"/>
              </w:rPr>
              <w:t>77</w:t>
            </w:r>
          </w:p>
        </w:tc>
        <w:tc>
          <w:tcPr>
            <w:tcW w:w="1540" w:type="dxa"/>
            <w:tcBorders>
              <w:top w:val="single" w:sz="4" w:space="0" w:color="000000"/>
              <w:left w:val="single" w:sz="4" w:space="0" w:color="000000"/>
              <w:bottom w:val="single" w:sz="4" w:space="0" w:color="000000"/>
            </w:tcBorders>
            <w:shd w:val="clear" w:color="auto" w:fill="D9D9D9"/>
          </w:tcPr>
          <w:p w:rsidR="001A7801" w:rsidRPr="005E709E" w:rsidRDefault="005E709E" w:rsidP="001776E9">
            <w:pPr>
              <w:autoSpaceDE w:val="0"/>
              <w:snapToGrid w:val="0"/>
              <w:ind w:right="28"/>
              <w:jc w:val="center"/>
              <w:rPr>
                <w:sz w:val="22"/>
                <w:szCs w:val="22"/>
              </w:rPr>
            </w:pPr>
            <w:r w:rsidRPr="005E709E">
              <w:rPr>
                <w:sz w:val="22"/>
                <w:szCs w:val="22"/>
              </w:rPr>
              <w:t>1</w:t>
            </w:r>
            <w:r w:rsidR="001776E9">
              <w:rPr>
                <w:sz w:val="22"/>
                <w:szCs w:val="22"/>
              </w:rPr>
              <w:t>804</w:t>
            </w:r>
          </w:p>
        </w:tc>
      </w:tr>
    </w:tbl>
    <w:p w:rsidR="000347EB" w:rsidRPr="004035A4" w:rsidRDefault="000347EB" w:rsidP="000347EB">
      <w:pPr>
        <w:pStyle w:val="2"/>
        <w:numPr>
          <w:ilvl w:val="0"/>
          <w:numId w:val="0"/>
        </w:numPr>
        <w:spacing w:before="0" w:after="0"/>
        <w:ind w:firstLine="567"/>
        <w:jc w:val="both"/>
        <w:rPr>
          <w:rFonts w:ascii="Times New Roman" w:hAnsi="Times New Roman"/>
          <w:b w:val="0"/>
          <w:sz w:val="22"/>
          <w:szCs w:val="22"/>
          <w:lang w:val="uk-UA"/>
        </w:rPr>
      </w:pPr>
    </w:p>
    <w:p w:rsidR="000347EB" w:rsidRPr="004035A4" w:rsidRDefault="001A7801" w:rsidP="000347EB">
      <w:pPr>
        <w:pStyle w:val="2"/>
        <w:numPr>
          <w:ilvl w:val="0"/>
          <w:numId w:val="0"/>
        </w:numPr>
        <w:spacing w:before="0" w:after="0"/>
        <w:ind w:firstLine="567"/>
        <w:jc w:val="both"/>
        <w:rPr>
          <w:rFonts w:ascii="Times New Roman" w:hAnsi="Times New Roman"/>
          <w:b w:val="0"/>
          <w:sz w:val="24"/>
          <w:szCs w:val="24"/>
          <w:lang w:val="uk-UA"/>
        </w:rPr>
      </w:pPr>
      <w:r w:rsidRPr="001A7801">
        <w:rPr>
          <w:rFonts w:ascii="Times New Roman" w:hAnsi="Times New Roman"/>
          <w:sz w:val="24"/>
          <w:szCs w:val="24"/>
          <w:lang w:val="uk-UA"/>
        </w:rPr>
        <w:t xml:space="preserve">6.2. </w:t>
      </w:r>
      <w:r w:rsidR="000347EB" w:rsidRPr="001A7801">
        <w:rPr>
          <w:rFonts w:ascii="Times New Roman" w:hAnsi="Times New Roman"/>
          <w:sz w:val="24"/>
          <w:szCs w:val="24"/>
          <w:lang w:val="uk-UA"/>
        </w:rPr>
        <w:t>Доход  (виручка від реалізації) ( тис. грн</w:t>
      </w:r>
      <w:r w:rsidR="000347EB" w:rsidRPr="004035A4">
        <w:rPr>
          <w:rFonts w:ascii="Times New Roman" w:hAnsi="Times New Roman"/>
          <w:b w:val="0"/>
          <w:sz w:val="24"/>
          <w:szCs w:val="24"/>
          <w:lang w:val="uk-UA"/>
        </w:rPr>
        <w:t>.)</w:t>
      </w:r>
    </w:p>
    <w:p w:rsidR="000347EB" w:rsidRPr="004035A4" w:rsidRDefault="000347EB" w:rsidP="000347EB">
      <w:pPr>
        <w:ind w:firstLine="567"/>
        <w:jc w:val="both"/>
        <w:rPr>
          <w:szCs w:val="24"/>
        </w:rPr>
      </w:pPr>
      <w:r w:rsidRPr="004035A4">
        <w:rPr>
          <w:szCs w:val="24"/>
        </w:rPr>
        <w:t>Виручка від реалізації була представлена наступним чином:</w:t>
      </w:r>
    </w:p>
    <w:p w:rsidR="000347EB" w:rsidRPr="004035A4" w:rsidRDefault="000347EB" w:rsidP="000347EB">
      <w:pPr>
        <w:ind w:firstLine="567"/>
        <w:jc w:val="both"/>
        <w:rPr>
          <w:szCs w:val="24"/>
        </w:rPr>
      </w:pPr>
    </w:p>
    <w:tbl>
      <w:tblPr>
        <w:tblW w:w="0" w:type="auto"/>
        <w:tblInd w:w="108" w:type="dxa"/>
        <w:tblLayout w:type="fixed"/>
        <w:tblLook w:val="0000"/>
      </w:tblPr>
      <w:tblGrid>
        <w:gridCol w:w="6521"/>
        <w:gridCol w:w="1430"/>
        <w:gridCol w:w="1430"/>
      </w:tblGrid>
      <w:tr w:rsidR="00AA7664" w:rsidRPr="004035A4" w:rsidTr="003A7506">
        <w:trPr>
          <w:trHeight w:val="450"/>
        </w:trPr>
        <w:tc>
          <w:tcPr>
            <w:tcW w:w="6521" w:type="dxa"/>
            <w:tcBorders>
              <w:top w:val="single" w:sz="4" w:space="0" w:color="000000"/>
              <w:left w:val="single" w:sz="4" w:space="0" w:color="000000"/>
              <w:bottom w:val="single" w:sz="4" w:space="0" w:color="000000"/>
            </w:tcBorders>
            <w:shd w:val="clear" w:color="auto" w:fill="auto"/>
            <w:vAlign w:val="bottom"/>
          </w:tcPr>
          <w:p w:rsidR="00AA7664" w:rsidRPr="004035A4" w:rsidRDefault="00AA7664" w:rsidP="0049337B">
            <w:pPr>
              <w:snapToGrid w:val="0"/>
              <w:jc w:val="both"/>
              <w:rPr>
                <w:b/>
                <w:color w:val="000000"/>
                <w:szCs w:val="22"/>
              </w:rPr>
            </w:pPr>
            <w:r w:rsidRPr="004035A4">
              <w:rPr>
                <w:b/>
                <w:color w:val="000000"/>
                <w:szCs w:val="22"/>
              </w:rPr>
              <w:t>Стаття</w:t>
            </w:r>
          </w:p>
        </w:tc>
        <w:tc>
          <w:tcPr>
            <w:tcW w:w="1430" w:type="dxa"/>
            <w:tcBorders>
              <w:top w:val="single" w:sz="4" w:space="0" w:color="000000"/>
              <w:left w:val="single" w:sz="4" w:space="0" w:color="000000"/>
              <w:bottom w:val="single" w:sz="4" w:space="0" w:color="000000"/>
              <w:right w:val="single" w:sz="4" w:space="0" w:color="000000"/>
            </w:tcBorders>
          </w:tcPr>
          <w:p w:rsidR="00AA7664" w:rsidRPr="004035A4" w:rsidRDefault="00AA7664" w:rsidP="001776E9">
            <w:pPr>
              <w:snapToGrid w:val="0"/>
              <w:jc w:val="both"/>
              <w:rPr>
                <w:b/>
                <w:bCs/>
                <w:color w:val="000000"/>
                <w:szCs w:val="22"/>
              </w:rPr>
            </w:pPr>
            <w:r w:rsidRPr="004035A4">
              <w:rPr>
                <w:b/>
                <w:bCs/>
                <w:color w:val="000000"/>
                <w:szCs w:val="22"/>
              </w:rPr>
              <w:t>201</w:t>
            </w:r>
            <w:r w:rsidR="001776E9">
              <w:rPr>
                <w:b/>
                <w:bCs/>
                <w:color w:val="000000"/>
                <w:szCs w:val="22"/>
              </w:rPr>
              <w:t>9</w:t>
            </w:r>
            <w:r w:rsidRPr="004035A4">
              <w:rPr>
                <w:b/>
                <w:bCs/>
                <w:color w:val="000000"/>
                <w:szCs w:val="22"/>
              </w:rPr>
              <w:t xml:space="preserve"> рік</w:t>
            </w:r>
          </w:p>
        </w:tc>
        <w:tc>
          <w:tcPr>
            <w:tcW w:w="1430" w:type="dxa"/>
            <w:tcBorders>
              <w:top w:val="single" w:sz="4" w:space="0" w:color="000000"/>
              <w:left w:val="single" w:sz="4" w:space="0" w:color="000000"/>
              <w:bottom w:val="single" w:sz="4" w:space="0" w:color="000000"/>
            </w:tcBorders>
          </w:tcPr>
          <w:p w:rsidR="00AA7664" w:rsidRPr="004035A4" w:rsidRDefault="00AA7664" w:rsidP="001776E9">
            <w:pPr>
              <w:snapToGrid w:val="0"/>
              <w:jc w:val="both"/>
              <w:rPr>
                <w:b/>
                <w:bCs/>
                <w:color w:val="000000"/>
                <w:szCs w:val="22"/>
              </w:rPr>
            </w:pPr>
            <w:r w:rsidRPr="004035A4">
              <w:rPr>
                <w:b/>
                <w:bCs/>
                <w:color w:val="000000"/>
                <w:szCs w:val="22"/>
              </w:rPr>
              <w:t>201</w:t>
            </w:r>
            <w:r w:rsidR="001776E9">
              <w:rPr>
                <w:b/>
                <w:bCs/>
                <w:color w:val="000000"/>
                <w:szCs w:val="22"/>
              </w:rPr>
              <w:t>8</w:t>
            </w:r>
            <w:r w:rsidRPr="004035A4">
              <w:rPr>
                <w:b/>
                <w:bCs/>
                <w:color w:val="000000"/>
                <w:szCs w:val="22"/>
              </w:rPr>
              <w:t xml:space="preserve"> рік</w:t>
            </w:r>
          </w:p>
        </w:tc>
      </w:tr>
      <w:tr w:rsidR="00AA7664" w:rsidRPr="004035A4" w:rsidTr="003A7506">
        <w:trPr>
          <w:trHeight w:val="300"/>
        </w:trPr>
        <w:tc>
          <w:tcPr>
            <w:tcW w:w="6521" w:type="dxa"/>
            <w:tcBorders>
              <w:left w:val="single" w:sz="4" w:space="0" w:color="000000"/>
              <w:bottom w:val="single" w:sz="4" w:space="0" w:color="000000"/>
            </w:tcBorders>
            <w:shd w:val="clear" w:color="auto" w:fill="auto"/>
            <w:vAlign w:val="bottom"/>
          </w:tcPr>
          <w:p w:rsidR="00AA7664" w:rsidRPr="004035A4" w:rsidRDefault="00AA7664" w:rsidP="0049337B">
            <w:pPr>
              <w:snapToGrid w:val="0"/>
              <w:ind w:firstLine="37"/>
              <w:jc w:val="both"/>
              <w:rPr>
                <w:color w:val="000000"/>
                <w:szCs w:val="22"/>
              </w:rPr>
            </w:pPr>
            <w:r w:rsidRPr="004035A4">
              <w:rPr>
                <w:color w:val="000000"/>
                <w:szCs w:val="22"/>
              </w:rPr>
              <w:t>Доход (Виручка) від реалізації послуг</w:t>
            </w:r>
          </w:p>
        </w:tc>
        <w:tc>
          <w:tcPr>
            <w:tcW w:w="1430" w:type="dxa"/>
            <w:tcBorders>
              <w:left w:val="single" w:sz="4" w:space="0" w:color="000000"/>
              <w:bottom w:val="single" w:sz="4" w:space="0" w:color="000000"/>
              <w:right w:val="single" w:sz="4" w:space="0" w:color="000000"/>
            </w:tcBorders>
            <w:vAlign w:val="bottom"/>
          </w:tcPr>
          <w:p w:rsidR="00AA7664" w:rsidRPr="005E709E" w:rsidRDefault="005E709E" w:rsidP="001776E9">
            <w:pPr>
              <w:snapToGrid w:val="0"/>
              <w:jc w:val="center"/>
              <w:rPr>
                <w:color w:val="000000"/>
                <w:sz w:val="22"/>
                <w:szCs w:val="22"/>
              </w:rPr>
            </w:pPr>
            <w:r w:rsidRPr="005E709E">
              <w:rPr>
                <w:color w:val="000000"/>
                <w:sz w:val="22"/>
                <w:szCs w:val="22"/>
              </w:rPr>
              <w:t>24</w:t>
            </w:r>
            <w:r w:rsidR="001776E9">
              <w:rPr>
                <w:color w:val="000000"/>
                <w:sz w:val="22"/>
                <w:szCs w:val="22"/>
              </w:rPr>
              <w:t>63</w:t>
            </w:r>
          </w:p>
        </w:tc>
        <w:tc>
          <w:tcPr>
            <w:tcW w:w="1430" w:type="dxa"/>
            <w:tcBorders>
              <w:left w:val="single" w:sz="4" w:space="0" w:color="000000"/>
              <w:bottom w:val="single" w:sz="4" w:space="0" w:color="000000"/>
            </w:tcBorders>
            <w:vAlign w:val="bottom"/>
          </w:tcPr>
          <w:p w:rsidR="00AA7664" w:rsidRPr="004035A4" w:rsidRDefault="001776E9" w:rsidP="000E1DFA">
            <w:pPr>
              <w:snapToGrid w:val="0"/>
              <w:jc w:val="center"/>
              <w:rPr>
                <w:color w:val="000000"/>
                <w:sz w:val="22"/>
                <w:szCs w:val="22"/>
              </w:rPr>
            </w:pPr>
            <w:r>
              <w:rPr>
                <w:color w:val="000000"/>
                <w:sz w:val="22"/>
                <w:szCs w:val="22"/>
              </w:rPr>
              <w:t>2478</w:t>
            </w:r>
          </w:p>
        </w:tc>
      </w:tr>
      <w:tr w:rsidR="00AA7664" w:rsidRPr="004035A4" w:rsidTr="003A7506">
        <w:trPr>
          <w:trHeight w:val="300"/>
        </w:trPr>
        <w:tc>
          <w:tcPr>
            <w:tcW w:w="6521" w:type="dxa"/>
            <w:tcBorders>
              <w:left w:val="single" w:sz="4" w:space="0" w:color="000000"/>
              <w:bottom w:val="single" w:sz="4" w:space="0" w:color="000000"/>
            </w:tcBorders>
            <w:shd w:val="clear" w:color="auto" w:fill="auto"/>
            <w:vAlign w:val="bottom"/>
          </w:tcPr>
          <w:p w:rsidR="00AA7664" w:rsidRPr="004035A4" w:rsidRDefault="00AA7664" w:rsidP="0049337B">
            <w:pPr>
              <w:snapToGrid w:val="0"/>
              <w:ind w:firstLine="37"/>
              <w:jc w:val="both"/>
              <w:rPr>
                <w:color w:val="000000"/>
                <w:szCs w:val="22"/>
              </w:rPr>
            </w:pPr>
            <w:r w:rsidRPr="004035A4">
              <w:rPr>
                <w:color w:val="000000"/>
                <w:szCs w:val="22"/>
              </w:rPr>
              <w:t>Інші операційні доходи</w:t>
            </w:r>
          </w:p>
        </w:tc>
        <w:tc>
          <w:tcPr>
            <w:tcW w:w="1430" w:type="dxa"/>
            <w:tcBorders>
              <w:left w:val="single" w:sz="4" w:space="0" w:color="000000"/>
              <w:bottom w:val="single" w:sz="4" w:space="0" w:color="000000"/>
              <w:right w:val="single" w:sz="4" w:space="0" w:color="000000"/>
            </w:tcBorders>
            <w:vAlign w:val="bottom"/>
          </w:tcPr>
          <w:p w:rsidR="00AA7664" w:rsidRPr="005E709E" w:rsidRDefault="00AA7664" w:rsidP="00E17EB6">
            <w:pPr>
              <w:snapToGrid w:val="0"/>
              <w:jc w:val="center"/>
              <w:rPr>
                <w:color w:val="000000"/>
                <w:sz w:val="22"/>
                <w:szCs w:val="22"/>
              </w:rPr>
            </w:pPr>
            <w:r w:rsidRPr="005E709E">
              <w:rPr>
                <w:color w:val="000000"/>
                <w:sz w:val="22"/>
                <w:szCs w:val="22"/>
              </w:rPr>
              <w:t>-</w:t>
            </w:r>
          </w:p>
        </w:tc>
        <w:tc>
          <w:tcPr>
            <w:tcW w:w="1430" w:type="dxa"/>
            <w:tcBorders>
              <w:left w:val="single" w:sz="4" w:space="0" w:color="000000"/>
              <w:bottom w:val="single" w:sz="4" w:space="0" w:color="000000"/>
            </w:tcBorders>
            <w:vAlign w:val="bottom"/>
          </w:tcPr>
          <w:p w:rsidR="00AA7664" w:rsidRPr="004035A4" w:rsidRDefault="00AA7664" w:rsidP="000E1DFA">
            <w:pPr>
              <w:snapToGrid w:val="0"/>
              <w:jc w:val="center"/>
              <w:rPr>
                <w:color w:val="000000"/>
                <w:sz w:val="22"/>
                <w:szCs w:val="22"/>
              </w:rPr>
            </w:pPr>
            <w:r w:rsidRPr="004035A4">
              <w:rPr>
                <w:color w:val="000000"/>
                <w:sz w:val="22"/>
                <w:szCs w:val="22"/>
              </w:rPr>
              <w:t>-</w:t>
            </w:r>
          </w:p>
        </w:tc>
      </w:tr>
      <w:tr w:rsidR="00AA7664" w:rsidRPr="004035A4" w:rsidTr="003A7506">
        <w:trPr>
          <w:trHeight w:val="300"/>
        </w:trPr>
        <w:tc>
          <w:tcPr>
            <w:tcW w:w="6521" w:type="dxa"/>
            <w:tcBorders>
              <w:left w:val="single" w:sz="4" w:space="0" w:color="000000"/>
              <w:bottom w:val="single" w:sz="4" w:space="0" w:color="000000"/>
            </w:tcBorders>
            <w:shd w:val="clear" w:color="auto" w:fill="auto"/>
            <w:vAlign w:val="bottom"/>
          </w:tcPr>
          <w:p w:rsidR="00AA7664" w:rsidRPr="004035A4" w:rsidRDefault="00AA7664" w:rsidP="0049337B">
            <w:pPr>
              <w:snapToGrid w:val="0"/>
              <w:jc w:val="both"/>
              <w:rPr>
                <w:bCs/>
                <w:color w:val="000000"/>
                <w:szCs w:val="22"/>
              </w:rPr>
            </w:pPr>
            <w:r w:rsidRPr="004035A4">
              <w:rPr>
                <w:bCs/>
                <w:color w:val="000000"/>
                <w:szCs w:val="22"/>
              </w:rPr>
              <w:t>Всього</w:t>
            </w:r>
          </w:p>
        </w:tc>
        <w:tc>
          <w:tcPr>
            <w:tcW w:w="1430" w:type="dxa"/>
            <w:tcBorders>
              <w:left w:val="single" w:sz="4" w:space="0" w:color="000000"/>
              <w:bottom w:val="single" w:sz="4" w:space="0" w:color="000000"/>
              <w:right w:val="single" w:sz="4" w:space="0" w:color="000000"/>
            </w:tcBorders>
            <w:vAlign w:val="bottom"/>
          </w:tcPr>
          <w:p w:rsidR="00AA7664" w:rsidRPr="005E709E" w:rsidRDefault="005E709E" w:rsidP="001776E9">
            <w:pPr>
              <w:snapToGrid w:val="0"/>
              <w:jc w:val="center"/>
              <w:rPr>
                <w:b/>
                <w:bCs/>
                <w:color w:val="000000"/>
                <w:sz w:val="22"/>
                <w:szCs w:val="22"/>
              </w:rPr>
            </w:pPr>
            <w:r w:rsidRPr="005E709E">
              <w:rPr>
                <w:b/>
                <w:bCs/>
                <w:color w:val="000000"/>
                <w:sz w:val="22"/>
                <w:szCs w:val="22"/>
              </w:rPr>
              <w:t>24</w:t>
            </w:r>
            <w:r w:rsidR="001776E9">
              <w:rPr>
                <w:b/>
                <w:bCs/>
                <w:color w:val="000000"/>
                <w:sz w:val="22"/>
                <w:szCs w:val="22"/>
              </w:rPr>
              <w:t>63</w:t>
            </w:r>
          </w:p>
        </w:tc>
        <w:tc>
          <w:tcPr>
            <w:tcW w:w="1430" w:type="dxa"/>
            <w:tcBorders>
              <w:left w:val="single" w:sz="4" w:space="0" w:color="000000"/>
              <w:bottom w:val="single" w:sz="4" w:space="0" w:color="000000"/>
            </w:tcBorders>
            <w:vAlign w:val="bottom"/>
          </w:tcPr>
          <w:p w:rsidR="00AA7664" w:rsidRPr="004035A4" w:rsidRDefault="001776E9" w:rsidP="000E1DFA">
            <w:pPr>
              <w:snapToGrid w:val="0"/>
              <w:jc w:val="center"/>
              <w:rPr>
                <w:b/>
                <w:bCs/>
                <w:color w:val="000000"/>
                <w:sz w:val="22"/>
                <w:szCs w:val="22"/>
              </w:rPr>
            </w:pPr>
            <w:r>
              <w:rPr>
                <w:b/>
                <w:bCs/>
                <w:color w:val="000000"/>
                <w:sz w:val="22"/>
                <w:szCs w:val="22"/>
              </w:rPr>
              <w:t>2478</w:t>
            </w:r>
          </w:p>
        </w:tc>
      </w:tr>
    </w:tbl>
    <w:p w:rsidR="000347EB" w:rsidRPr="004035A4" w:rsidRDefault="000347EB" w:rsidP="000347EB">
      <w:pPr>
        <w:tabs>
          <w:tab w:val="left" w:pos="0"/>
        </w:tabs>
        <w:ind w:right="28" w:firstLine="540"/>
        <w:jc w:val="both"/>
      </w:pPr>
    </w:p>
    <w:p w:rsidR="000347EB" w:rsidRDefault="000347EB" w:rsidP="000347EB">
      <w:pPr>
        <w:tabs>
          <w:tab w:val="left" w:pos="0"/>
        </w:tabs>
        <w:ind w:right="28" w:firstLine="540"/>
        <w:jc w:val="both"/>
        <w:rPr>
          <w:szCs w:val="24"/>
        </w:rPr>
      </w:pPr>
      <w:r w:rsidRPr="004035A4">
        <w:rPr>
          <w:szCs w:val="24"/>
        </w:rPr>
        <w:t>Ломбард визначав дохід – дохід від надання позичок (отримані проценти), реалізації товарів, тощо тоді, коли існує вірогідність, що економічні вигоди, пов’язані із володінням товарами, перейдуть до підприємства, і суму доходу від реалізації можна достовірно визначити. Проценти та штрафи визнаються доходами та нараховуються в бухгалтерському обліку в момент їх сплати (погашення).</w:t>
      </w:r>
    </w:p>
    <w:p w:rsidR="001A7801" w:rsidRPr="001A7801" w:rsidRDefault="001A7801" w:rsidP="000347EB">
      <w:pPr>
        <w:tabs>
          <w:tab w:val="left" w:pos="0"/>
        </w:tabs>
        <w:ind w:right="28" w:firstLine="540"/>
        <w:jc w:val="both"/>
        <w:rPr>
          <w:b/>
          <w:szCs w:val="24"/>
        </w:rPr>
      </w:pPr>
      <w:r w:rsidRPr="001A7801">
        <w:rPr>
          <w:b/>
          <w:szCs w:val="24"/>
        </w:rPr>
        <w:t xml:space="preserve">6.3. Витрати </w:t>
      </w:r>
    </w:p>
    <w:p w:rsidR="000347EB" w:rsidRPr="004035A4" w:rsidRDefault="000347EB" w:rsidP="000347EB">
      <w:pPr>
        <w:tabs>
          <w:tab w:val="left" w:pos="0"/>
        </w:tabs>
        <w:ind w:firstLine="540"/>
        <w:jc w:val="both"/>
        <w:rPr>
          <w:szCs w:val="24"/>
        </w:rPr>
      </w:pPr>
      <w:r w:rsidRPr="004035A4">
        <w:rPr>
          <w:szCs w:val="24"/>
        </w:rPr>
        <w:t>Операційні витрати  були представлені наступним чином:</w:t>
      </w:r>
    </w:p>
    <w:p w:rsidR="000347EB" w:rsidRPr="004035A4" w:rsidRDefault="001A7801" w:rsidP="001A7801">
      <w:pPr>
        <w:tabs>
          <w:tab w:val="left" w:pos="0"/>
        </w:tabs>
        <w:ind w:firstLine="540"/>
        <w:jc w:val="right"/>
        <w:rPr>
          <w:szCs w:val="24"/>
        </w:rPr>
      </w:pPr>
      <w:r w:rsidRPr="001A7801">
        <w:rPr>
          <w:szCs w:val="24"/>
        </w:rPr>
        <w:t>( тис. грн.)</w:t>
      </w:r>
    </w:p>
    <w:tbl>
      <w:tblPr>
        <w:tblW w:w="0" w:type="auto"/>
        <w:tblInd w:w="108" w:type="dxa"/>
        <w:tblLayout w:type="fixed"/>
        <w:tblLook w:val="0000"/>
      </w:tblPr>
      <w:tblGrid>
        <w:gridCol w:w="6521"/>
        <w:gridCol w:w="1795"/>
        <w:gridCol w:w="1395"/>
      </w:tblGrid>
      <w:tr w:rsidR="00D668F7" w:rsidRPr="004035A4" w:rsidTr="003A7506">
        <w:trPr>
          <w:trHeight w:val="465"/>
        </w:trPr>
        <w:tc>
          <w:tcPr>
            <w:tcW w:w="6521" w:type="dxa"/>
            <w:tcBorders>
              <w:top w:val="single" w:sz="4" w:space="0" w:color="000000"/>
              <w:left w:val="single" w:sz="4" w:space="0" w:color="000000"/>
              <w:bottom w:val="single" w:sz="4" w:space="0" w:color="000000"/>
            </w:tcBorders>
            <w:shd w:val="clear" w:color="auto" w:fill="auto"/>
            <w:vAlign w:val="bottom"/>
          </w:tcPr>
          <w:p w:rsidR="00D668F7" w:rsidRPr="004035A4" w:rsidRDefault="00D668F7" w:rsidP="0049337B">
            <w:pPr>
              <w:snapToGrid w:val="0"/>
              <w:jc w:val="both"/>
              <w:rPr>
                <w:szCs w:val="22"/>
              </w:rPr>
            </w:pPr>
            <w:r w:rsidRPr="004035A4">
              <w:rPr>
                <w:color w:val="000000"/>
                <w:szCs w:val="22"/>
              </w:rPr>
              <w:t>Стаття</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D668F7" w:rsidRPr="00110168" w:rsidRDefault="00D668F7" w:rsidP="001776E9">
            <w:pPr>
              <w:snapToGrid w:val="0"/>
              <w:jc w:val="both"/>
              <w:rPr>
                <w:bCs/>
                <w:color w:val="000000"/>
                <w:szCs w:val="22"/>
              </w:rPr>
            </w:pPr>
            <w:r w:rsidRPr="00110168">
              <w:rPr>
                <w:b/>
                <w:bCs/>
                <w:color w:val="000000"/>
                <w:szCs w:val="22"/>
              </w:rPr>
              <w:t>201</w:t>
            </w:r>
            <w:r w:rsidR="001776E9">
              <w:rPr>
                <w:b/>
                <w:bCs/>
                <w:color w:val="000000"/>
                <w:szCs w:val="22"/>
              </w:rPr>
              <w:t>9</w:t>
            </w:r>
            <w:r w:rsidRPr="00110168">
              <w:rPr>
                <w:b/>
                <w:bCs/>
                <w:color w:val="000000"/>
                <w:szCs w:val="22"/>
              </w:rPr>
              <w:t xml:space="preserve"> рік</w:t>
            </w:r>
          </w:p>
        </w:tc>
        <w:tc>
          <w:tcPr>
            <w:tcW w:w="1395" w:type="dxa"/>
            <w:tcBorders>
              <w:top w:val="single" w:sz="4" w:space="0" w:color="000000"/>
              <w:left w:val="single" w:sz="4" w:space="0" w:color="000000"/>
              <w:bottom w:val="single" w:sz="4" w:space="0" w:color="000000"/>
              <w:right w:val="single" w:sz="4" w:space="0" w:color="000000"/>
            </w:tcBorders>
          </w:tcPr>
          <w:p w:rsidR="00D668F7" w:rsidRPr="00D668F7" w:rsidRDefault="00D668F7" w:rsidP="001776E9">
            <w:pPr>
              <w:snapToGrid w:val="0"/>
              <w:jc w:val="both"/>
              <w:rPr>
                <w:b/>
                <w:bCs/>
                <w:color w:val="000000"/>
                <w:szCs w:val="22"/>
              </w:rPr>
            </w:pPr>
            <w:r w:rsidRPr="00D668F7">
              <w:rPr>
                <w:b/>
                <w:bCs/>
                <w:color w:val="000000"/>
                <w:szCs w:val="22"/>
              </w:rPr>
              <w:t>201</w:t>
            </w:r>
            <w:r w:rsidR="001776E9">
              <w:rPr>
                <w:b/>
                <w:bCs/>
                <w:color w:val="000000"/>
                <w:szCs w:val="22"/>
              </w:rPr>
              <w:t>8</w:t>
            </w:r>
            <w:r w:rsidRPr="00D668F7">
              <w:rPr>
                <w:b/>
                <w:bCs/>
                <w:color w:val="000000"/>
                <w:szCs w:val="22"/>
              </w:rPr>
              <w:t>рік</w:t>
            </w:r>
          </w:p>
        </w:tc>
      </w:tr>
      <w:tr w:rsidR="00D668F7" w:rsidRPr="004035A4" w:rsidTr="003A7506">
        <w:trPr>
          <w:trHeight w:val="300"/>
        </w:trPr>
        <w:tc>
          <w:tcPr>
            <w:tcW w:w="6521" w:type="dxa"/>
            <w:tcBorders>
              <w:left w:val="single" w:sz="4" w:space="0" w:color="000000"/>
              <w:bottom w:val="single" w:sz="4" w:space="0" w:color="000000"/>
            </w:tcBorders>
            <w:shd w:val="clear" w:color="auto" w:fill="auto"/>
            <w:vAlign w:val="bottom"/>
          </w:tcPr>
          <w:p w:rsidR="00D668F7" w:rsidRPr="004035A4" w:rsidRDefault="00D668F7" w:rsidP="0049337B">
            <w:pPr>
              <w:snapToGrid w:val="0"/>
              <w:jc w:val="both"/>
              <w:rPr>
                <w:szCs w:val="22"/>
              </w:rPr>
            </w:pPr>
            <w:r w:rsidRPr="004035A4">
              <w:rPr>
                <w:szCs w:val="22"/>
              </w:rPr>
              <w:t>Матеріальні затрати</w:t>
            </w:r>
          </w:p>
        </w:tc>
        <w:tc>
          <w:tcPr>
            <w:tcW w:w="1795" w:type="dxa"/>
            <w:tcBorders>
              <w:left w:val="single" w:sz="4" w:space="0" w:color="000000"/>
              <w:bottom w:val="single" w:sz="4" w:space="0" w:color="000000"/>
              <w:right w:val="single" w:sz="4" w:space="0" w:color="000000"/>
            </w:tcBorders>
            <w:shd w:val="clear" w:color="auto" w:fill="auto"/>
            <w:vAlign w:val="bottom"/>
          </w:tcPr>
          <w:p w:rsidR="00D668F7" w:rsidRPr="00110168" w:rsidRDefault="00CB3253" w:rsidP="00110168">
            <w:pPr>
              <w:jc w:val="center"/>
              <w:rPr>
                <w:color w:val="000000"/>
                <w:sz w:val="20"/>
              </w:rPr>
            </w:pPr>
            <w:r>
              <w:rPr>
                <w:color w:val="000000"/>
                <w:sz w:val="20"/>
              </w:rPr>
              <w:t>323</w:t>
            </w:r>
          </w:p>
        </w:tc>
        <w:tc>
          <w:tcPr>
            <w:tcW w:w="1395" w:type="dxa"/>
            <w:tcBorders>
              <w:left w:val="single" w:sz="4" w:space="0" w:color="000000"/>
              <w:bottom w:val="single" w:sz="4" w:space="0" w:color="000000"/>
              <w:right w:val="single" w:sz="4" w:space="0" w:color="000000"/>
            </w:tcBorders>
            <w:vAlign w:val="bottom"/>
          </w:tcPr>
          <w:p w:rsidR="00D668F7" w:rsidRPr="004035A4" w:rsidRDefault="00CB3253" w:rsidP="003E0ABE">
            <w:pPr>
              <w:jc w:val="center"/>
              <w:rPr>
                <w:color w:val="000000"/>
                <w:sz w:val="20"/>
              </w:rPr>
            </w:pPr>
            <w:r>
              <w:rPr>
                <w:color w:val="000000"/>
                <w:sz w:val="20"/>
              </w:rPr>
              <w:t>346</w:t>
            </w:r>
          </w:p>
        </w:tc>
      </w:tr>
      <w:tr w:rsidR="00D668F7" w:rsidRPr="004035A4" w:rsidTr="003A7506">
        <w:trPr>
          <w:trHeight w:val="300"/>
        </w:trPr>
        <w:tc>
          <w:tcPr>
            <w:tcW w:w="6521" w:type="dxa"/>
            <w:tcBorders>
              <w:left w:val="single" w:sz="4" w:space="0" w:color="000000"/>
              <w:bottom w:val="single" w:sz="4" w:space="0" w:color="000000"/>
            </w:tcBorders>
            <w:shd w:val="clear" w:color="auto" w:fill="auto"/>
            <w:vAlign w:val="bottom"/>
          </w:tcPr>
          <w:p w:rsidR="00D668F7" w:rsidRPr="004035A4" w:rsidRDefault="00D668F7" w:rsidP="0049337B">
            <w:pPr>
              <w:snapToGrid w:val="0"/>
              <w:jc w:val="both"/>
              <w:rPr>
                <w:szCs w:val="22"/>
              </w:rPr>
            </w:pPr>
            <w:r w:rsidRPr="004035A4">
              <w:rPr>
                <w:szCs w:val="22"/>
              </w:rPr>
              <w:t>Амортизація</w:t>
            </w:r>
          </w:p>
        </w:tc>
        <w:tc>
          <w:tcPr>
            <w:tcW w:w="1795" w:type="dxa"/>
            <w:tcBorders>
              <w:left w:val="single" w:sz="4" w:space="0" w:color="000000"/>
              <w:bottom w:val="single" w:sz="4" w:space="0" w:color="000000"/>
              <w:right w:val="single" w:sz="4" w:space="0" w:color="000000"/>
            </w:tcBorders>
            <w:shd w:val="clear" w:color="auto" w:fill="auto"/>
            <w:vAlign w:val="bottom"/>
          </w:tcPr>
          <w:p w:rsidR="00D668F7" w:rsidRPr="00110168" w:rsidRDefault="005E709E" w:rsidP="00CB3253">
            <w:pPr>
              <w:jc w:val="center"/>
              <w:rPr>
                <w:color w:val="000000"/>
                <w:sz w:val="20"/>
                <w:lang w:val="ru-RU"/>
              </w:rPr>
            </w:pPr>
            <w:r w:rsidRPr="00110168">
              <w:rPr>
                <w:color w:val="000000"/>
                <w:sz w:val="20"/>
                <w:lang w:val="ru-RU"/>
              </w:rPr>
              <w:t>1</w:t>
            </w:r>
            <w:r w:rsidR="00CB3253">
              <w:rPr>
                <w:color w:val="000000"/>
                <w:sz w:val="20"/>
                <w:lang w:val="ru-RU"/>
              </w:rPr>
              <w:t>0</w:t>
            </w:r>
          </w:p>
        </w:tc>
        <w:tc>
          <w:tcPr>
            <w:tcW w:w="1395" w:type="dxa"/>
            <w:tcBorders>
              <w:left w:val="single" w:sz="4" w:space="0" w:color="000000"/>
              <w:bottom w:val="single" w:sz="4" w:space="0" w:color="000000"/>
              <w:right w:val="single" w:sz="4" w:space="0" w:color="000000"/>
            </w:tcBorders>
            <w:vAlign w:val="bottom"/>
          </w:tcPr>
          <w:p w:rsidR="00D668F7" w:rsidRPr="004035A4" w:rsidRDefault="00D668F7" w:rsidP="001776E9">
            <w:pPr>
              <w:jc w:val="center"/>
              <w:rPr>
                <w:color w:val="000000"/>
                <w:sz w:val="20"/>
                <w:lang w:val="ru-RU"/>
              </w:rPr>
            </w:pPr>
            <w:r>
              <w:rPr>
                <w:color w:val="000000"/>
                <w:sz w:val="20"/>
                <w:lang w:val="ru-RU"/>
              </w:rPr>
              <w:t>1</w:t>
            </w:r>
            <w:r w:rsidR="001776E9">
              <w:rPr>
                <w:color w:val="000000"/>
                <w:sz w:val="20"/>
                <w:lang w:val="ru-RU"/>
              </w:rPr>
              <w:t>9</w:t>
            </w:r>
          </w:p>
        </w:tc>
      </w:tr>
      <w:tr w:rsidR="00D668F7" w:rsidRPr="004035A4" w:rsidTr="003A7506">
        <w:trPr>
          <w:trHeight w:val="300"/>
        </w:trPr>
        <w:tc>
          <w:tcPr>
            <w:tcW w:w="6521" w:type="dxa"/>
            <w:tcBorders>
              <w:left w:val="single" w:sz="4" w:space="0" w:color="000000"/>
              <w:bottom w:val="single" w:sz="4" w:space="0" w:color="000000"/>
            </w:tcBorders>
            <w:shd w:val="clear" w:color="auto" w:fill="auto"/>
            <w:vAlign w:val="bottom"/>
          </w:tcPr>
          <w:p w:rsidR="00D668F7" w:rsidRPr="004035A4" w:rsidRDefault="00D668F7" w:rsidP="0049337B">
            <w:pPr>
              <w:snapToGrid w:val="0"/>
              <w:jc w:val="both"/>
              <w:rPr>
                <w:szCs w:val="22"/>
              </w:rPr>
            </w:pPr>
            <w:r w:rsidRPr="004035A4">
              <w:rPr>
                <w:szCs w:val="22"/>
              </w:rPr>
              <w:t>Витрати на оплату праці</w:t>
            </w:r>
          </w:p>
        </w:tc>
        <w:tc>
          <w:tcPr>
            <w:tcW w:w="1795" w:type="dxa"/>
            <w:tcBorders>
              <w:left w:val="single" w:sz="4" w:space="0" w:color="000000"/>
              <w:bottom w:val="single" w:sz="4" w:space="0" w:color="000000"/>
              <w:right w:val="single" w:sz="4" w:space="0" w:color="000000"/>
            </w:tcBorders>
            <w:shd w:val="clear" w:color="auto" w:fill="auto"/>
            <w:vAlign w:val="bottom"/>
          </w:tcPr>
          <w:p w:rsidR="00D668F7" w:rsidRPr="00110168" w:rsidRDefault="005E709E" w:rsidP="00CB3253">
            <w:pPr>
              <w:jc w:val="center"/>
              <w:rPr>
                <w:color w:val="000000"/>
                <w:sz w:val="20"/>
              </w:rPr>
            </w:pPr>
            <w:r w:rsidRPr="00110168">
              <w:rPr>
                <w:color w:val="000000"/>
                <w:sz w:val="20"/>
              </w:rPr>
              <w:t>2</w:t>
            </w:r>
            <w:r w:rsidR="00CB3253">
              <w:rPr>
                <w:color w:val="000000"/>
                <w:sz w:val="20"/>
              </w:rPr>
              <w:t>13</w:t>
            </w:r>
          </w:p>
        </w:tc>
        <w:tc>
          <w:tcPr>
            <w:tcW w:w="1395" w:type="dxa"/>
            <w:tcBorders>
              <w:left w:val="single" w:sz="4" w:space="0" w:color="000000"/>
              <w:bottom w:val="single" w:sz="4" w:space="0" w:color="000000"/>
              <w:right w:val="single" w:sz="4" w:space="0" w:color="000000"/>
            </w:tcBorders>
            <w:vAlign w:val="bottom"/>
          </w:tcPr>
          <w:p w:rsidR="00D668F7" w:rsidRPr="004035A4" w:rsidRDefault="00D668F7" w:rsidP="00CB3253">
            <w:pPr>
              <w:jc w:val="center"/>
              <w:rPr>
                <w:color w:val="000000"/>
                <w:sz w:val="20"/>
              </w:rPr>
            </w:pPr>
            <w:r>
              <w:rPr>
                <w:color w:val="000000"/>
                <w:sz w:val="20"/>
              </w:rPr>
              <w:t>2</w:t>
            </w:r>
            <w:r w:rsidR="00CB3253">
              <w:rPr>
                <w:color w:val="000000"/>
                <w:sz w:val="20"/>
              </w:rPr>
              <w:t>05</w:t>
            </w:r>
          </w:p>
        </w:tc>
      </w:tr>
      <w:tr w:rsidR="00D668F7" w:rsidRPr="004035A4" w:rsidTr="003A7506">
        <w:trPr>
          <w:trHeight w:val="300"/>
        </w:trPr>
        <w:tc>
          <w:tcPr>
            <w:tcW w:w="6521" w:type="dxa"/>
            <w:tcBorders>
              <w:left w:val="single" w:sz="4" w:space="0" w:color="000000"/>
              <w:bottom w:val="single" w:sz="4" w:space="0" w:color="000000"/>
            </w:tcBorders>
            <w:shd w:val="clear" w:color="auto" w:fill="auto"/>
            <w:vAlign w:val="bottom"/>
          </w:tcPr>
          <w:p w:rsidR="00D668F7" w:rsidRPr="004035A4" w:rsidRDefault="00D668F7" w:rsidP="0049337B">
            <w:pPr>
              <w:snapToGrid w:val="0"/>
              <w:jc w:val="both"/>
              <w:rPr>
                <w:szCs w:val="22"/>
              </w:rPr>
            </w:pPr>
            <w:r w:rsidRPr="004035A4">
              <w:rPr>
                <w:szCs w:val="22"/>
              </w:rPr>
              <w:t>Витрати на соціальні заходи</w:t>
            </w:r>
          </w:p>
        </w:tc>
        <w:tc>
          <w:tcPr>
            <w:tcW w:w="1795" w:type="dxa"/>
            <w:tcBorders>
              <w:left w:val="single" w:sz="4" w:space="0" w:color="000000"/>
              <w:bottom w:val="single" w:sz="4" w:space="0" w:color="000000"/>
              <w:right w:val="single" w:sz="4" w:space="0" w:color="000000"/>
            </w:tcBorders>
            <w:shd w:val="clear" w:color="auto" w:fill="auto"/>
            <w:vAlign w:val="bottom"/>
          </w:tcPr>
          <w:p w:rsidR="00D668F7" w:rsidRPr="00110168" w:rsidRDefault="00CB3253" w:rsidP="00E17EB6">
            <w:pPr>
              <w:jc w:val="center"/>
              <w:rPr>
                <w:color w:val="000000"/>
                <w:sz w:val="20"/>
              </w:rPr>
            </w:pPr>
            <w:r>
              <w:rPr>
                <w:color w:val="000000"/>
                <w:sz w:val="20"/>
              </w:rPr>
              <w:t>49</w:t>
            </w:r>
          </w:p>
        </w:tc>
        <w:tc>
          <w:tcPr>
            <w:tcW w:w="1395" w:type="dxa"/>
            <w:tcBorders>
              <w:left w:val="single" w:sz="4" w:space="0" w:color="000000"/>
              <w:bottom w:val="single" w:sz="4" w:space="0" w:color="000000"/>
              <w:right w:val="single" w:sz="4" w:space="0" w:color="000000"/>
            </w:tcBorders>
            <w:vAlign w:val="bottom"/>
          </w:tcPr>
          <w:p w:rsidR="00D668F7" w:rsidRPr="004035A4" w:rsidRDefault="001776E9">
            <w:pPr>
              <w:jc w:val="center"/>
              <w:rPr>
                <w:color w:val="000000"/>
                <w:sz w:val="20"/>
              </w:rPr>
            </w:pPr>
            <w:r>
              <w:rPr>
                <w:color w:val="000000"/>
                <w:sz w:val="20"/>
              </w:rPr>
              <w:t>50</w:t>
            </w:r>
          </w:p>
        </w:tc>
      </w:tr>
      <w:tr w:rsidR="00D668F7" w:rsidRPr="004035A4" w:rsidTr="003A7506">
        <w:trPr>
          <w:trHeight w:val="300"/>
        </w:trPr>
        <w:tc>
          <w:tcPr>
            <w:tcW w:w="6521" w:type="dxa"/>
            <w:tcBorders>
              <w:left w:val="single" w:sz="4" w:space="0" w:color="000000"/>
              <w:bottom w:val="single" w:sz="4" w:space="0" w:color="000000"/>
            </w:tcBorders>
            <w:shd w:val="clear" w:color="auto" w:fill="auto"/>
            <w:vAlign w:val="bottom"/>
          </w:tcPr>
          <w:p w:rsidR="00D668F7" w:rsidRPr="004035A4" w:rsidRDefault="00D668F7" w:rsidP="0049337B">
            <w:pPr>
              <w:snapToGrid w:val="0"/>
              <w:jc w:val="both"/>
              <w:rPr>
                <w:szCs w:val="22"/>
              </w:rPr>
            </w:pPr>
            <w:r w:rsidRPr="004035A4">
              <w:rPr>
                <w:szCs w:val="22"/>
              </w:rPr>
              <w:t>Інші операційні витрати</w:t>
            </w:r>
          </w:p>
        </w:tc>
        <w:tc>
          <w:tcPr>
            <w:tcW w:w="1795" w:type="dxa"/>
            <w:tcBorders>
              <w:left w:val="single" w:sz="4" w:space="0" w:color="000000"/>
              <w:bottom w:val="single" w:sz="4" w:space="0" w:color="000000"/>
              <w:right w:val="single" w:sz="4" w:space="0" w:color="000000"/>
            </w:tcBorders>
            <w:shd w:val="clear" w:color="auto" w:fill="auto"/>
            <w:vAlign w:val="center"/>
          </w:tcPr>
          <w:p w:rsidR="00D668F7" w:rsidRPr="00110168" w:rsidRDefault="00CB3253">
            <w:pPr>
              <w:jc w:val="center"/>
              <w:rPr>
                <w:color w:val="000000"/>
                <w:sz w:val="20"/>
              </w:rPr>
            </w:pPr>
            <w:r>
              <w:rPr>
                <w:color w:val="000000"/>
                <w:sz w:val="20"/>
              </w:rPr>
              <w:t>1830</w:t>
            </w:r>
          </w:p>
        </w:tc>
        <w:tc>
          <w:tcPr>
            <w:tcW w:w="1395" w:type="dxa"/>
            <w:tcBorders>
              <w:left w:val="single" w:sz="4" w:space="0" w:color="000000"/>
              <w:bottom w:val="single" w:sz="4" w:space="0" w:color="000000"/>
              <w:right w:val="single" w:sz="4" w:space="0" w:color="000000"/>
            </w:tcBorders>
            <w:vAlign w:val="bottom"/>
          </w:tcPr>
          <w:p w:rsidR="00D668F7" w:rsidRPr="004035A4" w:rsidRDefault="00CB3253">
            <w:pPr>
              <w:jc w:val="center"/>
              <w:rPr>
                <w:color w:val="000000"/>
                <w:sz w:val="20"/>
              </w:rPr>
            </w:pPr>
            <w:r>
              <w:rPr>
                <w:color w:val="000000"/>
                <w:sz w:val="20"/>
              </w:rPr>
              <w:t>1797</w:t>
            </w:r>
          </w:p>
        </w:tc>
      </w:tr>
      <w:tr w:rsidR="00D668F7" w:rsidRPr="004035A4" w:rsidTr="003A7506">
        <w:trPr>
          <w:trHeight w:val="315"/>
        </w:trPr>
        <w:tc>
          <w:tcPr>
            <w:tcW w:w="6521" w:type="dxa"/>
            <w:tcBorders>
              <w:left w:val="single" w:sz="4" w:space="0" w:color="000000"/>
              <w:bottom w:val="single" w:sz="4" w:space="0" w:color="000000"/>
            </w:tcBorders>
            <w:shd w:val="clear" w:color="auto" w:fill="auto"/>
            <w:vAlign w:val="bottom"/>
          </w:tcPr>
          <w:p w:rsidR="00D668F7" w:rsidRPr="004035A4" w:rsidRDefault="00D668F7" w:rsidP="0049337B">
            <w:pPr>
              <w:snapToGrid w:val="0"/>
              <w:jc w:val="both"/>
              <w:rPr>
                <w:bCs/>
                <w:szCs w:val="22"/>
              </w:rPr>
            </w:pPr>
            <w:r w:rsidRPr="004035A4">
              <w:rPr>
                <w:bCs/>
                <w:szCs w:val="22"/>
              </w:rPr>
              <w:t>Всього</w:t>
            </w:r>
          </w:p>
        </w:tc>
        <w:tc>
          <w:tcPr>
            <w:tcW w:w="1795" w:type="dxa"/>
            <w:tcBorders>
              <w:left w:val="single" w:sz="4" w:space="0" w:color="000000"/>
              <w:bottom w:val="single" w:sz="4" w:space="0" w:color="000000"/>
              <w:right w:val="single" w:sz="4" w:space="0" w:color="000000"/>
            </w:tcBorders>
            <w:shd w:val="clear" w:color="auto" w:fill="auto"/>
            <w:vAlign w:val="center"/>
          </w:tcPr>
          <w:p w:rsidR="00D668F7" w:rsidRPr="00110168" w:rsidRDefault="005E709E" w:rsidP="00CB3253">
            <w:pPr>
              <w:snapToGrid w:val="0"/>
              <w:jc w:val="center"/>
              <w:rPr>
                <w:b/>
                <w:szCs w:val="22"/>
              </w:rPr>
            </w:pPr>
            <w:r w:rsidRPr="00110168">
              <w:rPr>
                <w:b/>
                <w:szCs w:val="22"/>
              </w:rPr>
              <w:t>24</w:t>
            </w:r>
            <w:r w:rsidR="00CB3253">
              <w:rPr>
                <w:b/>
                <w:szCs w:val="22"/>
              </w:rPr>
              <w:t>25</w:t>
            </w:r>
          </w:p>
        </w:tc>
        <w:tc>
          <w:tcPr>
            <w:tcW w:w="1395" w:type="dxa"/>
            <w:tcBorders>
              <w:left w:val="single" w:sz="4" w:space="0" w:color="000000"/>
              <w:bottom w:val="single" w:sz="4" w:space="0" w:color="000000"/>
              <w:right w:val="single" w:sz="4" w:space="0" w:color="000000"/>
            </w:tcBorders>
            <w:vAlign w:val="bottom"/>
          </w:tcPr>
          <w:p w:rsidR="00D668F7" w:rsidRPr="00CB3253" w:rsidRDefault="001776E9" w:rsidP="0049337B">
            <w:pPr>
              <w:jc w:val="center"/>
              <w:rPr>
                <w:b/>
                <w:bCs/>
                <w:color w:val="000000"/>
                <w:szCs w:val="24"/>
              </w:rPr>
            </w:pPr>
            <w:r w:rsidRPr="00CB3253">
              <w:rPr>
                <w:b/>
                <w:bCs/>
                <w:color w:val="000000"/>
                <w:szCs w:val="24"/>
              </w:rPr>
              <w:t>2417</w:t>
            </w:r>
          </w:p>
        </w:tc>
      </w:tr>
    </w:tbl>
    <w:p w:rsidR="000347EB" w:rsidRPr="004035A4" w:rsidRDefault="000347EB" w:rsidP="000347EB">
      <w:pPr>
        <w:tabs>
          <w:tab w:val="left" w:pos="0"/>
        </w:tabs>
        <w:ind w:right="28" w:firstLine="540"/>
        <w:jc w:val="both"/>
      </w:pPr>
    </w:p>
    <w:p w:rsidR="000347EB" w:rsidRPr="004035A4" w:rsidRDefault="000347EB" w:rsidP="000347EB">
      <w:pPr>
        <w:tabs>
          <w:tab w:val="left" w:pos="0"/>
        </w:tabs>
        <w:ind w:firstLine="540"/>
        <w:jc w:val="both"/>
        <w:rPr>
          <w:szCs w:val="24"/>
        </w:rPr>
      </w:pPr>
      <w:r w:rsidRPr="004035A4">
        <w:rPr>
          <w:szCs w:val="24"/>
        </w:rPr>
        <w:t xml:space="preserve">Податки на прибуток Ломбард відображає у фінансовій звітності відповідно до законодавства, яке вступило в дію станом на кінець звітного періоду. Витрати з податку на прибуток  за рік </w:t>
      </w:r>
      <w:r w:rsidRPr="00110168">
        <w:rPr>
          <w:szCs w:val="24"/>
        </w:rPr>
        <w:t xml:space="preserve">рівні </w:t>
      </w:r>
      <w:r w:rsidR="00110168" w:rsidRPr="00110168">
        <w:rPr>
          <w:szCs w:val="24"/>
        </w:rPr>
        <w:t xml:space="preserve"> </w:t>
      </w:r>
      <w:r w:rsidR="00CB3253">
        <w:rPr>
          <w:szCs w:val="24"/>
        </w:rPr>
        <w:t>7</w:t>
      </w:r>
      <w:r w:rsidR="00110168">
        <w:rPr>
          <w:szCs w:val="24"/>
        </w:rPr>
        <w:t xml:space="preserve"> </w:t>
      </w:r>
      <w:r w:rsidRPr="004035A4">
        <w:rPr>
          <w:szCs w:val="24"/>
        </w:rPr>
        <w:t xml:space="preserve">тис грн. </w:t>
      </w:r>
    </w:p>
    <w:p w:rsidR="000347EB" w:rsidRPr="004035A4" w:rsidRDefault="000347EB" w:rsidP="000347EB">
      <w:pPr>
        <w:tabs>
          <w:tab w:val="left" w:pos="0"/>
        </w:tabs>
        <w:ind w:right="28" w:firstLine="540"/>
        <w:jc w:val="both"/>
        <w:rPr>
          <w:szCs w:val="24"/>
        </w:rPr>
      </w:pPr>
      <w:r w:rsidRPr="004035A4">
        <w:rPr>
          <w:szCs w:val="24"/>
        </w:rPr>
        <w:t>Перерахунок нарахованих відстрочених податкових  зобов'язань та  відстрочених податкових активів, які були нараховані станом на кінець 201</w:t>
      </w:r>
      <w:r w:rsidR="00CB3253">
        <w:rPr>
          <w:szCs w:val="24"/>
        </w:rPr>
        <w:t>9</w:t>
      </w:r>
      <w:r w:rsidRPr="004035A4">
        <w:rPr>
          <w:szCs w:val="24"/>
        </w:rPr>
        <w:t xml:space="preserve"> року, підприємством не проводився, можливий вплив його не врахований.</w:t>
      </w:r>
    </w:p>
    <w:p w:rsidR="000347EB" w:rsidRPr="004035A4" w:rsidRDefault="000347EB" w:rsidP="000347EB">
      <w:pPr>
        <w:tabs>
          <w:tab w:val="left" w:pos="0"/>
        </w:tabs>
        <w:autoSpaceDE w:val="0"/>
        <w:ind w:left="15" w:right="28" w:firstLine="540"/>
        <w:jc w:val="both"/>
        <w:rPr>
          <w:szCs w:val="24"/>
        </w:rPr>
      </w:pPr>
    </w:p>
    <w:p w:rsidR="000347EB" w:rsidRPr="001A7801" w:rsidRDefault="001A7801" w:rsidP="000347EB">
      <w:pPr>
        <w:tabs>
          <w:tab w:val="left" w:pos="0"/>
        </w:tabs>
        <w:autoSpaceDE w:val="0"/>
        <w:ind w:left="15" w:right="28" w:firstLine="540"/>
        <w:jc w:val="both"/>
        <w:rPr>
          <w:b/>
          <w:szCs w:val="24"/>
        </w:rPr>
      </w:pPr>
      <w:r w:rsidRPr="001A7801">
        <w:rPr>
          <w:b/>
          <w:szCs w:val="24"/>
        </w:rPr>
        <w:t>6.4.</w:t>
      </w:r>
      <w:r>
        <w:rPr>
          <w:b/>
          <w:szCs w:val="24"/>
        </w:rPr>
        <w:t xml:space="preserve"> </w:t>
      </w:r>
      <w:r w:rsidR="000347EB" w:rsidRPr="001A7801">
        <w:rPr>
          <w:b/>
          <w:szCs w:val="24"/>
        </w:rPr>
        <w:t>Основні засоби</w:t>
      </w:r>
    </w:p>
    <w:p w:rsidR="000347EB" w:rsidRPr="004035A4" w:rsidRDefault="000347EB" w:rsidP="000347EB">
      <w:pPr>
        <w:tabs>
          <w:tab w:val="left" w:pos="0"/>
        </w:tabs>
        <w:ind w:firstLine="540"/>
        <w:jc w:val="both"/>
        <w:rPr>
          <w:szCs w:val="24"/>
        </w:rPr>
      </w:pPr>
      <w:r w:rsidRPr="004035A4">
        <w:rPr>
          <w:szCs w:val="24"/>
        </w:rPr>
        <w:t>Станом на 31 грудня 201</w:t>
      </w:r>
      <w:r w:rsidR="00CB3253">
        <w:rPr>
          <w:szCs w:val="24"/>
        </w:rPr>
        <w:t>9</w:t>
      </w:r>
      <w:r w:rsidRPr="004035A4">
        <w:rPr>
          <w:szCs w:val="24"/>
        </w:rPr>
        <w:t>р. основні засоби Товариства були представлені наступним чином:</w:t>
      </w:r>
    </w:p>
    <w:p w:rsidR="000347EB" w:rsidRPr="001A7801" w:rsidRDefault="001A7801" w:rsidP="001A7801">
      <w:pPr>
        <w:tabs>
          <w:tab w:val="left" w:pos="0"/>
        </w:tabs>
        <w:ind w:firstLine="540"/>
        <w:jc w:val="right"/>
        <w:rPr>
          <w:szCs w:val="24"/>
        </w:rPr>
      </w:pPr>
      <w:r w:rsidRPr="001A7801">
        <w:rPr>
          <w:szCs w:val="24"/>
        </w:rPr>
        <w:t>( тис. грн.)</w:t>
      </w:r>
    </w:p>
    <w:tbl>
      <w:tblPr>
        <w:tblW w:w="9923" w:type="dxa"/>
        <w:tblInd w:w="55" w:type="dxa"/>
        <w:tblLayout w:type="fixed"/>
        <w:tblCellMar>
          <w:top w:w="55" w:type="dxa"/>
          <w:left w:w="55" w:type="dxa"/>
          <w:bottom w:w="55" w:type="dxa"/>
          <w:right w:w="55" w:type="dxa"/>
        </w:tblCellMar>
        <w:tblLook w:val="0000"/>
      </w:tblPr>
      <w:tblGrid>
        <w:gridCol w:w="6804"/>
        <w:gridCol w:w="1560"/>
        <w:gridCol w:w="1559"/>
      </w:tblGrid>
      <w:tr w:rsidR="00D668F7" w:rsidRPr="004035A4" w:rsidTr="003A7506">
        <w:tc>
          <w:tcPr>
            <w:tcW w:w="6804" w:type="dxa"/>
            <w:tcBorders>
              <w:top w:val="single" w:sz="1" w:space="0" w:color="000000"/>
              <w:left w:val="single" w:sz="1" w:space="0" w:color="000000"/>
              <w:bottom w:val="single" w:sz="1" w:space="0" w:color="000000"/>
            </w:tcBorders>
            <w:shd w:val="clear" w:color="auto" w:fill="auto"/>
          </w:tcPr>
          <w:p w:rsidR="00D668F7" w:rsidRPr="004035A4" w:rsidRDefault="00D668F7" w:rsidP="0049337B">
            <w:pPr>
              <w:pStyle w:val="a6"/>
              <w:snapToGrid w:val="0"/>
              <w:jc w:val="both"/>
              <w:rPr>
                <w:b/>
                <w:bCs/>
                <w:sz w:val="20"/>
                <w:lang w:val="uk-UA"/>
              </w:rPr>
            </w:pPr>
          </w:p>
        </w:tc>
        <w:tc>
          <w:tcPr>
            <w:tcW w:w="1560" w:type="dxa"/>
            <w:tcBorders>
              <w:top w:val="single" w:sz="1" w:space="0" w:color="000000"/>
              <w:left w:val="single" w:sz="1" w:space="0" w:color="000000"/>
              <w:bottom w:val="single" w:sz="1" w:space="0" w:color="000000"/>
              <w:right w:val="single" w:sz="1" w:space="0" w:color="000000"/>
            </w:tcBorders>
          </w:tcPr>
          <w:p w:rsidR="00D668F7" w:rsidRPr="004035A4" w:rsidRDefault="00D668F7" w:rsidP="00CB3253">
            <w:pPr>
              <w:pStyle w:val="a6"/>
              <w:snapToGrid w:val="0"/>
              <w:jc w:val="center"/>
              <w:rPr>
                <w:b/>
                <w:bCs/>
                <w:szCs w:val="22"/>
                <w:lang w:val="uk-UA"/>
              </w:rPr>
            </w:pPr>
            <w:r w:rsidRPr="004035A4">
              <w:rPr>
                <w:b/>
                <w:szCs w:val="22"/>
                <w:lang w:val="uk-UA"/>
              </w:rPr>
              <w:t xml:space="preserve">Основні засоби </w:t>
            </w:r>
            <w:r w:rsidRPr="004035A4">
              <w:rPr>
                <w:b/>
                <w:bCs/>
                <w:color w:val="000000"/>
                <w:szCs w:val="22"/>
                <w:lang w:val="uk-UA"/>
              </w:rPr>
              <w:t>201</w:t>
            </w:r>
            <w:r w:rsidR="00CB3253">
              <w:rPr>
                <w:b/>
                <w:bCs/>
                <w:color w:val="000000"/>
                <w:szCs w:val="22"/>
                <w:lang w:val="uk-UA"/>
              </w:rPr>
              <w:t>9</w:t>
            </w:r>
            <w:r w:rsidR="003A7506">
              <w:rPr>
                <w:b/>
                <w:bCs/>
                <w:color w:val="000000"/>
                <w:szCs w:val="22"/>
                <w:lang w:val="uk-UA"/>
              </w:rPr>
              <w:t xml:space="preserve"> </w:t>
            </w:r>
            <w:r w:rsidRPr="004035A4">
              <w:rPr>
                <w:b/>
                <w:bCs/>
                <w:color w:val="000000"/>
                <w:szCs w:val="22"/>
                <w:lang w:val="uk-UA"/>
              </w:rPr>
              <w:t>рік</w:t>
            </w:r>
          </w:p>
        </w:tc>
        <w:tc>
          <w:tcPr>
            <w:tcW w:w="1559" w:type="dxa"/>
            <w:tcBorders>
              <w:top w:val="single" w:sz="1" w:space="0" w:color="000000"/>
              <w:left w:val="single" w:sz="1" w:space="0" w:color="000000"/>
              <w:bottom w:val="single" w:sz="1" w:space="0" w:color="000000"/>
            </w:tcBorders>
            <w:shd w:val="clear" w:color="auto" w:fill="auto"/>
          </w:tcPr>
          <w:p w:rsidR="00D668F7" w:rsidRPr="004035A4" w:rsidRDefault="00D668F7" w:rsidP="00CB3253">
            <w:pPr>
              <w:pStyle w:val="a6"/>
              <w:snapToGrid w:val="0"/>
              <w:jc w:val="center"/>
              <w:rPr>
                <w:b/>
                <w:bCs/>
                <w:szCs w:val="22"/>
                <w:lang w:val="uk-UA"/>
              </w:rPr>
            </w:pPr>
            <w:r w:rsidRPr="004035A4">
              <w:rPr>
                <w:b/>
                <w:szCs w:val="22"/>
                <w:lang w:val="uk-UA"/>
              </w:rPr>
              <w:t xml:space="preserve">Основні засоби </w:t>
            </w:r>
            <w:r w:rsidRPr="004035A4">
              <w:rPr>
                <w:b/>
                <w:bCs/>
                <w:color w:val="000000"/>
                <w:szCs w:val="22"/>
                <w:lang w:val="uk-UA"/>
              </w:rPr>
              <w:t>201</w:t>
            </w:r>
            <w:r w:rsidR="00CB3253">
              <w:rPr>
                <w:b/>
                <w:bCs/>
                <w:color w:val="000000"/>
                <w:szCs w:val="22"/>
                <w:lang w:val="uk-UA"/>
              </w:rPr>
              <w:t>8</w:t>
            </w:r>
            <w:r w:rsidRPr="004035A4">
              <w:rPr>
                <w:b/>
                <w:bCs/>
                <w:color w:val="000000"/>
                <w:szCs w:val="22"/>
                <w:lang w:val="uk-UA"/>
              </w:rPr>
              <w:t xml:space="preserve"> рік</w:t>
            </w:r>
            <w:r w:rsidRPr="004035A4">
              <w:rPr>
                <w:b/>
                <w:szCs w:val="22"/>
                <w:lang w:val="uk-UA"/>
              </w:rPr>
              <w:t xml:space="preserve"> </w:t>
            </w:r>
          </w:p>
        </w:tc>
      </w:tr>
      <w:tr w:rsidR="00D668F7" w:rsidRPr="008403AB" w:rsidTr="003A7506">
        <w:tc>
          <w:tcPr>
            <w:tcW w:w="6804" w:type="dxa"/>
            <w:tcBorders>
              <w:left w:val="single" w:sz="1" w:space="0" w:color="000000"/>
              <w:bottom w:val="single" w:sz="1" w:space="0" w:color="000000"/>
            </w:tcBorders>
            <w:shd w:val="clear" w:color="auto" w:fill="auto"/>
          </w:tcPr>
          <w:p w:rsidR="00D668F7" w:rsidRPr="008403AB" w:rsidRDefault="00D668F7" w:rsidP="008403AB">
            <w:pPr>
              <w:snapToGrid w:val="0"/>
              <w:rPr>
                <w:sz w:val="22"/>
                <w:szCs w:val="22"/>
              </w:rPr>
            </w:pPr>
            <w:r w:rsidRPr="008403AB">
              <w:rPr>
                <w:sz w:val="22"/>
                <w:szCs w:val="22"/>
              </w:rPr>
              <w:t>Первісна вартість станом на початок звітного року</w:t>
            </w:r>
          </w:p>
        </w:tc>
        <w:tc>
          <w:tcPr>
            <w:tcW w:w="1560" w:type="dxa"/>
            <w:tcBorders>
              <w:left w:val="single" w:sz="1" w:space="0" w:color="000000"/>
              <w:bottom w:val="single" w:sz="1" w:space="0" w:color="000000"/>
              <w:right w:val="single" w:sz="1" w:space="0" w:color="000000"/>
            </w:tcBorders>
          </w:tcPr>
          <w:p w:rsidR="00D668F7" w:rsidRPr="008403AB" w:rsidRDefault="006F698F" w:rsidP="008403AB">
            <w:pPr>
              <w:pStyle w:val="a6"/>
              <w:snapToGrid w:val="0"/>
              <w:rPr>
                <w:bCs/>
                <w:szCs w:val="22"/>
                <w:lang w:val="uk-UA"/>
              </w:rPr>
            </w:pPr>
            <w:r w:rsidRPr="008403AB">
              <w:rPr>
                <w:bCs/>
                <w:szCs w:val="22"/>
                <w:lang w:val="uk-UA"/>
              </w:rPr>
              <w:t>220</w:t>
            </w:r>
          </w:p>
        </w:tc>
        <w:tc>
          <w:tcPr>
            <w:tcW w:w="1559" w:type="dxa"/>
            <w:tcBorders>
              <w:left w:val="single" w:sz="1" w:space="0" w:color="000000"/>
              <w:bottom w:val="single" w:sz="1" w:space="0" w:color="000000"/>
            </w:tcBorders>
            <w:shd w:val="clear" w:color="auto" w:fill="auto"/>
          </w:tcPr>
          <w:p w:rsidR="00D668F7" w:rsidRPr="008403AB" w:rsidRDefault="00CB3253" w:rsidP="008403AB">
            <w:pPr>
              <w:pStyle w:val="a6"/>
              <w:snapToGrid w:val="0"/>
              <w:rPr>
                <w:bCs/>
                <w:szCs w:val="22"/>
                <w:lang w:val="uk-UA"/>
              </w:rPr>
            </w:pPr>
            <w:r w:rsidRPr="008403AB">
              <w:rPr>
                <w:bCs/>
                <w:szCs w:val="22"/>
                <w:lang w:val="uk-UA"/>
              </w:rPr>
              <w:t>220</w:t>
            </w:r>
          </w:p>
        </w:tc>
      </w:tr>
      <w:tr w:rsidR="00D668F7" w:rsidRPr="008403AB" w:rsidTr="003A7506">
        <w:tc>
          <w:tcPr>
            <w:tcW w:w="6804" w:type="dxa"/>
            <w:tcBorders>
              <w:left w:val="single" w:sz="1" w:space="0" w:color="000000"/>
              <w:bottom w:val="single" w:sz="1" w:space="0" w:color="000000"/>
            </w:tcBorders>
            <w:shd w:val="clear" w:color="auto" w:fill="auto"/>
          </w:tcPr>
          <w:p w:rsidR="00D668F7" w:rsidRPr="008403AB" w:rsidRDefault="00D668F7" w:rsidP="008403AB">
            <w:pPr>
              <w:snapToGrid w:val="0"/>
              <w:rPr>
                <w:sz w:val="22"/>
                <w:szCs w:val="22"/>
              </w:rPr>
            </w:pPr>
            <w:r w:rsidRPr="008403AB">
              <w:rPr>
                <w:sz w:val="22"/>
                <w:szCs w:val="22"/>
              </w:rPr>
              <w:t>Придбано основних засобів</w:t>
            </w:r>
          </w:p>
        </w:tc>
        <w:tc>
          <w:tcPr>
            <w:tcW w:w="1560" w:type="dxa"/>
            <w:tcBorders>
              <w:left w:val="single" w:sz="1" w:space="0" w:color="000000"/>
              <w:bottom w:val="single" w:sz="1" w:space="0" w:color="000000"/>
              <w:right w:val="single" w:sz="1" w:space="0" w:color="000000"/>
            </w:tcBorders>
          </w:tcPr>
          <w:p w:rsidR="00D668F7" w:rsidRPr="008403AB" w:rsidRDefault="00C01A09" w:rsidP="008403AB">
            <w:pPr>
              <w:pStyle w:val="a6"/>
              <w:snapToGrid w:val="0"/>
              <w:rPr>
                <w:szCs w:val="22"/>
                <w:lang w:val="uk-UA"/>
              </w:rPr>
            </w:pPr>
            <w:r w:rsidRPr="008403AB">
              <w:rPr>
                <w:szCs w:val="22"/>
                <w:lang w:val="uk-UA"/>
              </w:rPr>
              <w:t>30</w:t>
            </w:r>
          </w:p>
        </w:tc>
        <w:tc>
          <w:tcPr>
            <w:tcW w:w="1559" w:type="dxa"/>
            <w:tcBorders>
              <w:left w:val="single" w:sz="1" w:space="0" w:color="000000"/>
              <w:bottom w:val="single" w:sz="1" w:space="0" w:color="000000"/>
            </w:tcBorders>
            <w:shd w:val="clear" w:color="auto" w:fill="auto"/>
          </w:tcPr>
          <w:p w:rsidR="00D668F7" w:rsidRPr="008403AB" w:rsidRDefault="00D668F7" w:rsidP="008403AB">
            <w:pPr>
              <w:pStyle w:val="a6"/>
              <w:snapToGrid w:val="0"/>
              <w:rPr>
                <w:szCs w:val="22"/>
                <w:lang w:val="uk-UA"/>
              </w:rPr>
            </w:pPr>
            <w:r w:rsidRPr="008403AB">
              <w:rPr>
                <w:szCs w:val="22"/>
                <w:lang w:val="uk-UA"/>
              </w:rPr>
              <w:t>15</w:t>
            </w:r>
          </w:p>
        </w:tc>
      </w:tr>
      <w:tr w:rsidR="00D668F7" w:rsidRPr="008403AB" w:rsidTr="003A7506">
        <w:tc>
          <w:tcPr>
            <w:tcW w:w="6804" w:type="dxa"/>
            <w:tcBorders>
              <w:left w:val="single" w:sz="1" w:space="0" w:color="000000"/>
              <w:bottom w:val="single" w:sz="1" w:space="0" w:color="000000"/>
            </w:tcBorders>
            <w:shd w:val="clear" w:color="auto" w:fill="auto"/>
          </w:tcPr>
          <w:p w:rsidR="00D668F7" w:rsidRPr="008403AB" w:rsidRDefault="00D668F7" w:rsidP="008403AB">
            <w:pPr>
              <w:snapToGrid w:val="0"/>
              <w:rPr>
                <w:sz w:val="22"/>
                <w:szCs w:val="22"/>
              </w:rPr>
            </w:pPr>
            <w:r w:rsidRPr="008403AB">
              <w:rPr>
                <w:sz w:val="22"/>
                <w:szCs w:val="22"/>
              </w:rPr>
              <w:t>Вибуло</w:t>
            </w:r>
          </w:p>
        </w:tc>
        <w:tc>
          <w:tcPr>
            <w:tcW w:w="1560" w:type="dxa"/>
            <w:tcBorders>
              <w:left w:val="single" w:sz="1" w:space="0" w:color="000000"/>
              <w:bottom w:val="single" w:sz="1" w:space="0" w:color="000000"/>
              <w:right w:val="single" w:sz="1" w:space="0" w:color="000000"/>
            </w:tcBorders>
          </w:tcPr>
          <w:p w:rsidR="00D668F7" w:rsidRPr="008403AB" w:rsidRDefault="00C01A09" w:rsidP="008403AB">
            <w:pPr>
              <w:pStyle w:val="a6"/>
              <w:snapToGrid w:val="0"/>
              <w:rPr>
                <w:szCs w:val="22"/>
                <w:lang w:val="uk-UA"/>
              </w:rPr>
            </w:pPr>
            <w:r w:rsidRPr="008403AB">
              <w:rPr>
                <w:szCs w:val="22"/>
                <w:lang w:val="uk-UA"/>
              </w:rPr>
              <w:t>120</w:t>
            </w:r>
          </w:p>
        </w:tc>
        <w:tc>
          <w:tcPr>
            <w:tcW w:w="1559" w:type="dxa"/>
            <w:tcBorders>
              <w:left w:val="single" w:sz="1" w:space="0" w:color="000000"/>
              <w:bottom w:val="single" w:sz="1" w:space="0" w:color="000000"/>
            </w:tcBorders>
            <w:shd w:val="clear" w:color="auto" w:fill="auto"/>
          </w:tcPr>
          <w:p w:rsidR="00D668F7" w:rsidRPr="008403AB" w:rsidRDefault="00D668F7" w:rsidP="008403AB">
            <w:pPr>
              <w:pStyle w:val="a6"/>
              <w:snapToGrid w:val="0"/>
              <w:rPr>
                <w:szCs w:val="22"/>
                <w:lang w:val="uk-UA"/>
              </w:rPr>
            </w:pPr>
            <w:r w:rsidRPr="008403AB">
              <w:rPr>
                <w:szCs w:val="22"/>
                <w:lang w:val="uk-UA"/>
              </w:rPr>
              <w:t>-</w:t>
            </w:r>
          </w:p>
        </w:tc>
      </w:tr>
      <w:tr w:rsidR="00D668F7" w:rsidRPr="008403AB" w:rsidTr="003A7506">
        <w:tc>
          <w:tcPr>
            <w:tcW w:w="6804" w:type="dxa"/>
            <w:tcBorders>
              <w:left w:val="single" w:sz="1" w:space="0" w:color="000000"/>
              <w:bottom w:val="single" w:sz="1" w:space="0" w:color="000000"/>
            </w:tcBorders>
            <w:shd w:val="clear" w:color="auto" w:fill="auto"/>
          </w:tcPr>
          <w:p w:rsidR="00D668F7" w:rsidRPr="008403AB" w:rsidRDefault="00D668F7" w:rsidP="008403AB">
            <w:pPr>
              <w:snapToGrid w:val="0"/>
              <w:rPr>
                <w:bCs/>
                <w:sz w:val="22"/>
                <w:szCs w:val="22"/>
              </w:rPr>
            </w:pPr>
            <w:r w:rsidRPr="008403AB">
              <w:rPr>
                <w:bCs/>
                <w:sz w:val="22"/>
                <w:szCs w:val="22"/>
              </w:rPr>
              <w:t>Первісна вартість станом на кінець звітного періоду</w:t>
            </w:r>
          </w:p>
        </w:tc>
        <w:tc>
          <w:tcPr>
            <w:tcW w:w="1560" w:type="dxa"/>
            <w:tcBorders>
              <w:left w:val="single" w:sz="1" w:space="0" w:color="000000"/>
              <w:bottom w:val="single" w:sz="1" w:space="0" w:color="000000"/>
              <w:right w:val="single" w:sz="1" w:space="0" w:color="000000"/>
            </w:tcBorders>
          </w:tcPr>
          <w:p w:rsidR="00D668F7" w:rsidRPr="008403AB" w:rsidRDefault="00CB3253" w:rsidP="008403AB">
            <w:pPr>
              <w:pStyle w:val="a6"/>
              <w:snapToGrid w:val="0"/>
              <w:rPr>
                <w:bCs/>
                <w:szCs w:val="22"/>
                <w:lang w:val="uk-UA"/>
              </w:rPr>
            </w:pPr>
            <w:r w:rsidRPr="008403AB">
              <w:rPr>
                <w:bCs/>
                <w:szCs w:val="22"/>
                <w:lang w:val="uk-UA"/>
              </w:rPr>
              <w:t>130</w:t>
            </w:r>
          </w:p>
        </w:tc>
        <w:tc>
          <w:tcPr>
            <w:tcW w:w="1559" w:type="dxa"/>
            <w:tcBorders>
              <w:left w:val="single" w:sz="1" w:space="0" w:color="000000"/>
              <w:bottom w:val="single" w:sz="1" w:space="0" w:color="000000"/>
            </w:tcBorders>
            <w:shd w:val="clear" w:color="auto" w:fill="auto"/>
          </w:tcPr>
          <w:p w:rsidR="00D668F7" w:rsidRPr="008403AB" w:rsidRDefault="00D668F7" w:rsidP="008403AB">
            <w:pPr>
              <w:pStyle w:val="a6"/>
              <w:snapToGrid w:val="0"/>
              <w:rPr>
                <w:bCs/>
                <w:szCs w:val="22"/>
                <w:lang w:val="uk-UA"/>
              </w:rPr>
            </w:pPr>
            <w:r w:rsidRPr="008403AB">
              <w:rPr>
                <w:bCs/>
                <w:szCs w:val="22"/>
                <w:lang w:val="uk-UA"/>
              </w:rPr>
              <w:t>220</w:t>
            </w:r>
          </w:p>
        </w:tc>
      </w:tr>
      <w:tr w:rsidR="00D668F7" w:rsidRPr="008403AB" w:rsidTr="003A7506">
        <w:tc>
          <w:tcPr>
            <w:tcW w:w="6804" w:type="dxa"/>
            <w:tcBorders>
              <w:left w:val="single" w:sz="1" w:space="0" w:color="000000"/>
              <w:bottom w:val="single" w:sz="1" w:space="0" w:color="000000"/>
            </w:tcBorders>
            <w:shd w:val="clear" w:color="auto" w:fill="auto"/>
          </w:tcPr>
          <w:p w:rsidR="00D668F7" w:rsidRPr="008403AB" w:rsidRDefault="00D668F7" w:rsidP="008403AB">
            <w:pPr>
              <w:snapToGrid w:val="0"/>
              <w:rPr>
                <w:bCs/>
                <w:sz w:val="22"/>
                <w:szCs w:val="22"/>
              </w:rPr>
            </w:pPr>
            <w:r w:rsidRPr="008403AB">
              <w:rPr>
                <w:bCs/>
                <w:sz w:val="22"/>
                <w:szCs w:val="22"/>
              </w:rPr>
              <w:t>Накопичена амортизація станом на початок звітного року</w:t>
            </w:r>
          </w:p>
        </w:tc>
        <w:tc>
          <w:tcPr>
            <w:tcW w:w="1560" w:type="dxa"/>
            <w:tcBorders>
              <w:left w:val="single" w:sz="1" w:space="0" w:color="000000"/>
              <w:bottom w:val="single" w:sz="1" w:space="0" w:color="000000"/>
              <w:right w:val="single" w:sz="1" w:space="0" w:color="000000"/>
            </w:tcBorders>
          </w:tcPr>
          <w:p w:rsidR="00D668F7" w:rsidRPr="008403AB" w:rsidRDefault="00CB3253" w:rsidP="008403AB">
            <w:pPr>
              <w:pStyle w:val="a6"/>
              <w:snapToGrid w:val="0"/>
              <w:rPr>
                <w:bCs/>
                <w:szCs w:val="22"/>
                <w:lang w:val="uk-UA"/>
              </w:rPr>
            </w:pPr>
            <w:r w:rsidRPr="008403AB">
              <w:rPr>
                <w:bCs/>
                <w:szCs w:val="22"/>
                <w:lang w:val="uk-UA"/>
              </w:rPr>
              <w:t>102</w:t>
            </w:r>
          </w:p>
        </w:tc>
        <w:tc>
          <w:tcPr>
            <w:tcW w:w="1559" w:type="dxa"/>
            <w:tcBorders>
              <w:left w:val="single" w:sz="1" w:space="0" w:color="000000"/>
              <w:bottom w:val="single" w:sz="1" w:space="0" w:color="000000"/>
            </w:tcBorders>
            <w:shd w:val="clear" w:color="auto" w:fill="auto"/>
          </w:tcPr>
          <w:p w:rsidR="00D668F7" w:rsidRPr="008403AB" w:rsidRDefault="00CB3253" w:rsidP="008403AB">
            <w:pPr>
              <w:pStyle w:val="a6"/>
              <w:snapToGrid w:val="0"/>
              <w:rPr>
                <w:bCs/>
                <w:szCs w:val="22"/>
                <w:lang w:val="uk-UA"/>
              </w:rPr>
            </w:pPr>
            <w:r w:rsidRPr="008403AB">
              <w:rPr>
                <w:bCs/>
                <w:szCs w:val="22"/>
                <w:lang w:val="uk-UA"/>
              </w:rPr>
              <w:t>83</w:t>
            </w:r>
          </w:p>
        </w:tc>
      </w:tr>
      <w:tr w:rsidR="00D668F7" w:rsidRPr="008403AB" w:rsidTr="003A7506">
        <w:tc>
          <w:tcPr>
            <w:tcW w:w="6804" w:type="dxa"/>
            <w:tcBorders>
              <w:left w:val="single" w:sz="1" w:space="0" w:color="000000"/>
              <w:bottom w:val="single" w:sz="1" w:space="0" w:color="000000"/>
            </w:tcBorders>
            <w:shd w:val="clear" w:color="auto" w:fill="auto"/>
          </w:tcPr>
          <w:p w:rsidR="00D668F7" w:rsidRPr="008403AB" w:rsidRDefault="00D668F7" w:rsidP="008403AB">
            <w:pPr>
              <w:snapToGrid w:val="0"/>
              <w:rPr>
                <w:sz w:val="22"/>
                <w:szCs w:val="22"/>
              </w:rPr>
            </w:pPr>
            <w:r w:rsidRPr="008403AB">
              <w:rPr>
                <w:sz w:val="22"/>
                <w:szCs w:val="22"/>
              </w:rPr>
              <w:t>Амортизаційні нарахування за звітний період</w:t>
            </w:r>
          </w:p>
        </w:tc>
        <w:tc>
          <w:tcPr>
            <w:tcW w:w="1560" w:type="dxa"/>
            <w:tcBorders>
              <w:left w:val="single" w:sz="1" w:space="0" w:color="000000"/>
              <w:bottom w:val="single" w:sz="1" w:space="0" w:color="000000"/>
              <w:right w:val="single" w:sz="1" w:space="0" w:color="000000"/>
            </w:tcBorders>
          </w:tcPr>
          <w:p w:rsidR="00D668F7" w:rsidRPr="008403AB" w:rsidRDefault="00CB3253" w:rsidP="008403AB">
            <w:pPr>
              <w:pStyle w:val="a6"/>
              <w:snapToGrid w:val="0"/>
              <w:rPr>
                <w:szCs w:val="22"/>
                <w:lang w:val="uk-UA"/>
              </w:rPr>
            </w:pPr>
            <w:r w:rsidRPr="008403AB">
              <w:rPr>
                <w:szCs w:val="22"/>
                <w:lang w:val="uk-UA"/>
              </w:rPr>
              <w:t>10</w:t>
            </w:r>
          </w:p>
        </w:tc>
        <w:tc>
          <w:tcPr>
            <w:tcW w:w="1559" w:type="dxa"/>
            <w:tcBorders>
              <w:left w:val="single" w:sz="1" w:space="0" w:color="000000"/>
              <w:bottom w:val="single" w:sz="1" w:space="0" w:color="000000"/>
            </w:tcBorders>
            <w:shd w:val="clear" w:color="auto" w:fill="auto"/>
          </w:tcPr>
          <w:p w:rsidR="00D668F7" w:rsidRPr="008403AB" w:rsidRDefault="00CB3253" w:rsidP="008403AB">
            <w:pPr>
              <w:pStyle w:val="a6"/>
              <w:snapToGrid w:val="0"/>
              <w:rPr>
                <w:szCs w:val="22"/>
                <w:lang w:val="uk-UA"/>
              </w:rPr>
            </w:pPr>
            <w:r w:rsidRPr="008403AB">
              <w:rPr>
                <w:szCs w:val="22"/>
                <w:lang w:val="uk-UA"/>
              </w:rPr>
              <w:t>19</w:t>
            </w:r>
          </w:p>
        </w:tc>
      </w:tr>
      <w:tr w:rsidR="00D668F7" w:rsidRPr="008403AB" w:rsidTr="003A7506">
        <w:tc>
          <w:tcPr>
            <w:tcW w:w="6804" w:type="dxa"/>
            <w:tcBorders>
              <w:left w:val="single" w:sz="1" w:space="0" w:color="000000"/>
              <w:bottom w:val="single" w:sz="1" w:space="0" w:color="000000"/>
            </w:tcBorders>
            <w:shd w:val="clear" w:color="auto" w:fill="auto"/>
          </w:tcPr>
          <w:p w:rsidR="00D668F7" w:rsidRPr="008403AB" w:rsidRDefault="00D668F7" w:rsidP="008403AB">
            <w:pPr>
              <w:snapToGrid w:val="0"/>
              <w:rPr>
                <w:sz w:val="22"/>
                <w:szCs w:val="22"/>
              </w:rPr>
            </w:pPr>
            <w:r w:rsidRPr="008403AB">
              <w:rPr>
                <w:sz w:val="22"/>
                <w:szCs w:val="22"/>
              </w:rPr>
              <w:t>Амортизація станом на кінець звітного періоду</w:t>
            </w:r>
          </w:p>
        </w:tc>
        <w:tc>
          <w:tcPr>
            <w:tcW w:w="1560" w:type="dxa"/>
            <w:tcBorders>
              <w:left w:val="single" w:sz="1" w:space="0" w:color="000000"/>
              <w:bottom w:val="single" w:sz="1" w:space="0" w:color="000000"/>
              <w:right w:val="single" w:sz="1" w:space="0" w:color="000000"/>
            </w:tcBorders>
          </w:tcPr>
          <w:p w:rsidR="00D668F7" w:rsidRPr="008403AB" w:rsidRDefault="00C01A09" w:rsidP="008403AB">
            <w:pPr>
              <w:pStyle w:val="a6"/>
              <w:snapToGrid w:val="0"/>
              <w:rPr>
                <w:bCs/>
                <w:szCs w:val="22"/>
                <w:lang w:val="uk-UA"/>
              </w:rPr>
            </w:pPr>
            <w:r w:rsidRPr="008403AB">
              <w:rPr>
                <w:bCs/>
                <w:szCs w:val="22"/>
                <w:lang w:val="uk-UA"/>
              </w:rPr>
              <w:t>45</w:t>
            </w:r>
          </w:p>
        </w:tc>
        <w:tc>
          <w:tcPr>
            <w:tcW w:w="1559" w:type="dxa"/>
            <w:tcBorders>
              <w:left w:val="single" w:sz="1" w:space="0" w:color="000000"/>
              <w:bottom w:val="single" w:sz="1" w:space="0" w:color="000000"/>
            </w:tcBorders>
            <w:shd w:val="clear" w:color="auto" w:fill="auto"/>
          </w:tcPr>
          <w:p w:rsidR="00D668F7" w:rsidRPr="008403AB" w:rsidRDefault="00C01A09" w:rsidP="008403AB">
            <w:pPr>
              <w:pStyle w:val="a6"/>
              <w:snapToGrid w:val="0"/>
              <w:rPr>
                <w:bCs/>
                <w:szCs w:val="22"/>
                <w:lang w:val="uk-UA"/>
              </w:rPr>
            </w:pPr>
            <w:r w:rsidRPr="008403AB">
              <w:rPr>
                <w:bCs/>
                <w:szCs w:val="22"/>
                <w:lang w:val="uk-UA"/>
              </w:rPr>
              <w:t>102</w:t>
            </w:r>
          </w:p>
        </w:tc>
      </w:tr>
      <w:tr w:rsidR="00D668F7" w:rsidRPr="008403AB" w:rsidTr="003A7506">
        <w:tc>
          <w:tcPr>
            <w:tcW w:w="6804" w:type="dxa"/>
            <w:tcBorders>
              <w:left w:val="single" w:sz="1" w:space="0" w:color="000000"/>
              <w:bottom w:val="single" w:sz="1" w:space="0" w:color="000000"/>
            </w:tcBorders>
            <w:shd w:val="clear" w:color="auto" w:fill="auto"/>
          </w:tcPr>
          <w:p w:rsidR="00D668F7" w:rsidRPr="008403AB" w:rsidRDefault="00D668F7" w:rsidP="008403AB">
            <w:pPr>
              <w:snapToGrid w:val="0"/>
              <w:rPr>
                <w:bCs/>
                <w:sz w:val="22"/>
                <w:szCs w:val="22"/>
              </w:rPr>
            </w:pPr>
            <w:r w:rsidRPr="008403AB">
              <w:rPr>
                <w:bCs/>
                <w:sz w:val="22"/>
                <w:szCs w:val="22"/>
              </w:rPr>
              <w:t>Балансова вартість станом на кінець звітного періоду</w:t>
            </w:r>
          </w:p>
        </w:tc>
        <w:tc>
          <w:tcPr>
            <w:tcW w:w="1560" w:type="dxa"/>
            <w:tcBorders>
              <w:left w:val="single" w:sz="1" w:space="0" w:color="000000"/>
              <w:bottom w:val="single" w:sz="1" w:space="0" w:color="000000"/>
              <w:right w:val="single" w:sz="1" w:space="0" w:color="000000"/>
            </w:tcBorders>
          </w:tcPr>
          <w:p w:rsidR="00D668F7" w:rsidRPr="008403AB" w:rsidRDefault="00C01A09" w:rsidP="008403AB">
            <w:pPr>
              <w:pStyle w:val="a6"/>
              <w:snapToGrid w:val="0"/>
              <w:rPr>
                <w:bCs/>
                <w:szCs w:val="22"/>
                <w:lang w:val="uk-UA"/>
              </w:rPr>
            </w:pPr>
            <w:r w:rsidRPr="008403AB">
              <w:rPr>
                <w:bCs/>
                <w:szCs w:val="22"/>
                <w:lang w:val="uk-UA"/>
              </w:rPr>
              <w:t>85</w:t>
            </w:r>
          </w:p>
        </w:tc>
        <w:tc>
          <w:tcPr>
            <w:tcW w:w="1559" w:type="dxa"/>
            <w:tcBorders>
              <w:left w:val="single" w:sz="1" w:space="0" w:color="000000"/>
              <w:bottom w:val="single" w:sz="1" w:space="0" w:color="000000"/>
            </w:tcBorders>
            <w:shd w:val="clear" w:color="auto" w:fill="auto"/>
          </w:tcPr>
          <w:p w:rsidR="00D668F7" w:rsidRPr="008403AB" w:rsidRDefault="00C01A09" w:rsidP="008403AB">
            <w:pPr>
              <w:pStyle w:val="a6"/>
              <w:snapToGrid w:val="0"/>
              <w:rPr>
                <w:bCs/>
                <w:szCs w:val="22"/>
                <w:lang w:val="uk-UA"/>
              </w:rPr>
            </w:pPr>
            <w:r w:rsidRPr="008403AB">
              <w:rPr>
                <w:bCs/>
                <w:szCs w:val="22"/>
                <w:lang w:val="uk-UA"/>
              </w:rPr>
              <w:t>118</w:t>
            </w:r>
          </w:p>
        </w:tc>
      </w:tr>
    </w:tbl>
    <w:p w:rsidR="000347EB" w:rsidRPr="008403AB" w:rsidRDefault="000347EB" w:rsidP="008403AB">
      <w:pPr>
        <w:rPr>
          <w:sz w:val="22"/>
          <w:szCs w:val="22"/>
        </w:rPr>
      </w:pPr>
    </w:p>
    <w:p w:rsidR="006F698F" w:rsidRDefault="000347EB" w:rsidP="006F698F">
      <w:pPr>
        <w:ind w:firstLine="567"/>
        <w:jc w:val="both"/>
        <w:rPr>
          <w:szCs w:val="24"/>
        </w:rPr>
      </w:pPr>
      <w:r w:rsidRPr="004035A4">
        <w:rPr>
          <w:szCs w:val="24"/>
        </w:rPr>
        <w:lastRenderedPageBreak/>
        <w:t>До основних засобів застосовується прямолінійний метод нарахування амортизації. Одиницею обліку вважається окремий об’єкт. Ліквідаційна вартість основних засобів для цілей амортизації не застосовується.</w:t>
      </w:r>
      <w:r w:rsidR="000E1DFA" w:rsidRPr="004035A4">
        <w:rPr>
          <w:szCs w:val="24"/>
        </w:rPr>
        <w:t xml:space="preserve"> </w:t>
      </w:r>
    </w:p>
    <w:p w:rsidR="003A7506" w:rsidRDefault="003A7506" w:rsidP="006F698F">
      <w:pPr>
        <w:ind w:firstLine="567"/>
        <w:jc w:val="both"/>
        <w:rPr>
          <w:b/>
          <w:i/>
          <w:szCs w:val="24"/>
        </w:rPr>
      </w:pPr>
    </w:p>
    <w:p w:rsidR="001A7801" w:rsidRDefault="001A7801" w:rsidP="006F698F">
      <w:pPr>
        <w:ind w:firstLine="567"/>
        <w:jc w:val="both"/>
        <w:rPr>
          <w:b/>
          <w:i/>
          <w:szCs w:val="24"/>
        </w:rPr>
      </w:pPr>
      <w:r w:rsidRPr="00A62950">
        <w:rPr>
          <w:b/>
          <w:i/>
          <w:szCs w:val="24"/>
        </w:rPr>
        <w:t>Фінансові активи</w:t>
      </w:r>
      <w:r w:rsidRPr="00E1656C">
        <w:rPr>
          <w:b/>
          <w:i/>
          <w:szCs w:val="24"/>
        </w:rPr>
        <w:t xml:space="preserve"> та фінансові зобов’язання</w:t>
      </w:r>
    </w:p>
    <w:p w:rsidR="001A7801" w:rsidRPr="00A62950" w:rsidRDefault="001A7801" w:rsidP="002A0906">
      <w:pPr>
        <w:pStyle w:val="12"/>
        <w:numPr>
          <w:ilvl w:val="2"/>
          <w:numId w:val="18"/>
        </w:numPr>
        <w:shd w:val="clear" w:color="auto" w:fill="auto"/>
        <w:tabs>
          <w:tab w:val="left" w:pos="0"/>
        </w:tabs>
        <w:spacing w:before="0" w:after="0" w:line="240" w:lineRule="auto"/>
        <w:contextualSpacing/>
        <w:jc w:val="both"/>
        <w:rPr>
          <w:b/>
          <w:i/>
          <w:sz w:val="24"/>
          <w:szCs w:val="24"/>
          <w:lang w:val="uk-UA"/>
        </w:rPr>
      </w:pPr>
      <w:r>
        <w:rPr>
          <w:b/>
          <w:i/>
          <w:sz w:val="24"/>
          <w:szCs w:val="24"/>
          <w:lang w:val="uk-UA"/>
        </w:rPr>
        <w:t>Фінансові активи</w:t>
      </w:r>
    </w:p>
    <w:p w:rsidR="001A7801" w:rsidRPr="00A62950" w:rsidRDefault="001A7801" w:rsidP="001A7801">
      <w:pPr>
        <w:pStyle w:val="12"/>
        <w:shd w:val="clear" w:color="auto" w:fill="auto"/>
        <w:tabs>
          <w:tab w:val="left" w:pos="0"/>
        </w:tabs>
        <w:spacing w:before="0" w:after="0" w:line="240" w:lineRule="auto"/>
        <w:ind w:firstLine="567"/>
        <w:contextualSpacing/>
        <w:jc w:val="both"/>
        <w:rPr>
          <w:sz w:val="24"/>
          <w:szCs w:val="24"/>
          <w:lang w:val="uk-UA"/>
        </w:rPr>
      </w:pPr>
      <w:r w:rsidRPr="00A62950">
        <w:rPr>
          <w:sz w:val="24"/>
          <w:szCs w:val="24"/>
          <w:lang w:val="uk-UA"/>
        </w:rPr>
        <w:t>Фінансові активи товариства складаються з:</w:t>
      </w:r>
    </w:p>
    <w:p w:rsidR="001A7801" w:rsidRPr="00A62950" w:rsidRDefault="001A7801" w:rsidP="001A7801">
      <w:pPr>
        <w:pStyle w:val="12"/>
        <w:numPr>
          <w:ilvl w:val="0"/>
          <w:numId w:val="10"/>
        </w:numPr>
        <w:shd w:val="clear" w:color="auto" w:fill="auto"/>
        <w:tabs>
          <w:tab w:val="left" w:pos="0"/>
        </w:tabs>
        <w:spacing w:before="0" w:after="0" w:line="240" w:lineRule="auto"/>
        <w:ind w:left="0" w:firstLine="567"/>
        <w:contextualSpacing/>
        <w:jc w:val="both"/>
        <w:rPr>
          <w:sz w:val="24"/>
          <w:szCs w:val="24"/>
          <w:lang w:val="uk-UA"/>
        </w:rPr>
      </w:pPr>
      <w:r w:rsidRPr="00A62950">
        <w:rPr>
          <w:sz w:val="24"/>
          <w:szCs w:val="24"/>
          <w:lang w:val="uk-UA"/>
        </w:rPr>
        <w:t>дебіторської заборгованості;</w:t>
      </w:r>
    </w:p>
    <w:p w:rsidR="001A7801" w:rsidRPr="00A62950" w:rsidRDefault="001A7801" w:rsidP="001A7801">
      <w:pPr>
        <w:pStyle w:val="12"/>
        <w:numPr>
          <w:ilvl w:val="0"/>
          <w:numId w:val="10"/>
        </w:numPr>
        <w:shd w:val="clear" w:color="auto" w:fill="auto"/>
        <w:tabs>
          <w:tab w:val="left" w:pos="0"/>
        </w:tabs>
        <w:spacing w:before="0" w:after="0" w:line="240" w:lineRule="auto"/>
        <w:ind w:left="0" w:firstLine="567"/>
        <w:contextualSpacing/>
        <w:jc w:val="both"/>
        <w:rPr>
          <w:sz w:val="24"/>
          <w:szCs w:val="24"/>
          <w:lang w:val="uk-UA"/>
        </w:rPr>
      </w:pPr>
      <w:r w:rsidRPr="00A62950">
        <w:rPr>
          <w:sz w:val="24"/>
          <w:szCs w:val="24"/>
          <w:lang w:val="uk-UA"/>
        </w:rPr>
        <w:t>грошових коштів.</w:t>
      </w:r>
    </w:p>
    <w:p w:rsidR="001A7801" w:rsidRDefault="001A7801" w:rsidP="001A7801">
      <w:pPr>
        <w:tabs>
          <w:tab w:val="left" w:pos="0"/>
        </w:tabs>
        <w:ind w:firstLine="567"/>
        <w:contextualSpacing/>
        <w:jc w:val="both"/>
        <w:rPr>
          <w:szCs w:val="24"/>
        </w:rPr>
      </w:pPr>
      <w:r w:rsidRPr="00A62950">
        <w:rPr>
          <w:szCs w:val="24"/>
        </w:rPr>
        <w:t>Віднесення фінансових активів до тієї чи іншої категорії залежить від їх особливостей, а також мети їх придбання та відбувається у час прийняття їх до обліку.</w:t>
      </w:r>
    </w:p>
    <w:p w:rsidR="001A7801" w:rsidRPr="009F1A1A" w:rsidRDefault="001A7801" w:rsidP="001A7801">
      <w:pPr>
        <w:pStyle w:val="12"/>
        <w:shd w:val="clear" w:color="auto" w:fill="auto"/>
        <w:tabs>
          <w:tab w:val="left" w:pos="0"/>
        </w:tabs>
        <w:spacing w:before="0" w:after="0" w:line="240" w:lineRule="auto"/>
        <w:ind w:firstLine="567"/>
        <w:contextualSpacing/>
        <w:jc w:val="both"/>
        <w:rPr>
          <w:sz w:val="24"/>
          <w:szCs w:val="24"/>
          <w:lang w:val="uk-UA"/>
        </w:rPr>
      </w:pPr>
      <w:r w:rsidRPr="009F1A1A">
        <w:rPr>
          <w:sz w:val="24"/>
          <w:szCs w:val="24"/>
          <w:lang w:val="uk-UA"/>
        </w:rPr>
        <w:t>Товариство</w:t>
      </w:r>
      <w:r>
        <w:rPr>
          <w:sz w:val="24"/>
          <w:szCs w:val="24"/>
          <w:lang w:val="uk-UA"/>
        </w:rPr>
        <w:t xml:space="preserve"> застосовує введений з 1 січня 2018 року МСФЗ 9.</w:t>
      </w:r>
    </w:p>
    <w:p w:rsidR="001A7801" w:rsidRPr="00A62950" w:rsidRDefault="001A7801" w:rsidP="001A7801">
      <w:pPr>
        <w:pStyle w:val="12"/>
        <w:shd w:val="clear" w:color="auto" w:fill="auto"/>
        <w:tabs>
          <w:tab w:val="left" w:pos="0"/>
        </w:tabs>
        <w:spacing w:before="0" w:after="0" w:line="240" w:lineRule="auto"/>
        <w:ind w:firstLine="567"/>
        <w:contextualSpacing/>
        <w:jc w:val="both"/>
        <w:rPr>
          <w:sz w:val="24"/>
          <w:szCs w:val="24"/>
          <w:lang w:val="uk-UA"/>
        </w:rPr>
      </w:pPr>
      <w:r w:rsidRPr="00A62950">
        <w:rPr>
          <w:sz w:val="24"/>
          <w:szCs w:val="24"/>
          <w:lang w:val="uk-UA"/>
        </w:rPr>
        <w:t xml:space="preserve">Первісною оцінкою фінансових активів є справедлива вартість плюс витрати на операції, які прямо відносяться до їх придбання. </w:t>
      </w:r>
      <w:r w:rsidRPr="0063684C">
        <w:rPr>
          <w:sz w:val="24"/>
          <w:szCs w:val="24"/>
          <w:lang w:val="uk-UA"/>
        </w:rPr>
        <w:t>Витрати за операцією - це додаткові витрати, що безпосередньо належать до придбання або вибуття фінансового активу і включають, крім іншого: винагороди агентам, консультантам, брокерам, біржам, а також невідшкодовані податки та збори.</w:t>
      </w:r>
      <w:r>
        <w:rPr>
          <w:sz w:val="24"/>
          <w:szCs w:val="24"/>
          <w:lang w:val="uk-UA"/>
        </w:rPr>
        <w:t xml:space="preserve"> </w:t>
      </w:r>
      <w:r w:rsidRPr="00A62950">
        <w:rPr>
          <w:sz w:val="24"/>
          <w:szCs w:val="24"/>
          <w:lang w:val="uk-UA"/>
        </w:rPr>
        <w:t>Свідченням справедливої вартості є ціни котування на активному ринку. Якщо ринок для фінансового інструмента не є активним, справедливу вартість встановлювати шляхом:</w:t>
      </w:r>
    </w:p>
    <w:p w:rsidR="001A7801" w:rsidRPr="00A62950" w:rsidRDefault="001A7801" w:rsidP="001A7801">
      <w:pPr>
        <w:pStyle w:val="12"/>
        <w:numPr>
          <w:ilvl w:val="0"/>
          <w:numId w:val="17"/>
        </w:numPr>
        <w:shd w:val="clear" w:color="auto" w:fill="auto"/>
        <w:tabs>
          <w:tab w:val="left" w:pos="0"/>
        </w:tabs>
        <w:spacing w:before="0" w:after="0" w:line="240" w:lineRule="auto"/>
        <w:ind w:firstLine="567"/>
        <w:contextualSpacing/>
        <w:rPr>
          <w:sz w:val="24"/>
          <w:szCs w:val="24"/>
          <w:lang w:val="uk-UA"/>
        </w:rPr>
      </w:pPr>
      <w:r w:rsidRPr="00A62950">
        <w:rPr>
          <w:sz w:val="24"/>
          <w:szCs w:val="24"/>
          <w:lang w:val="uk-UA"/>
        </w:rPr>
        <w:t>застосування останніх ринкових операцій, якщо вони доступні;</w:t>
      </w:r>
    </w:p>
    <w:p w:rsidR="001A7801" w:rsidRPr="00A62950" w:rsidRDefault="001A7801" w:rsidP="001A7801">
      <w:pPr>
        <w:pStyle w:val="12"/>
        <w:numPr>
          <w:ilvl w:val="0"/>
          <w:numId w:val="17"/>
        </w:numPr>
        <w:shd w:val="clear" w:color="auto" w:fill="auto"/>
        <w:tabs>
          <w:tab w:val="left" w:pos="0"/>
        </w:tabs>
        <w:spacing w:before="0" w:after="0" w:line="240" w:lineRule="auto"/>
        <w:ind w:firstLine="567"/>
        <w:contextualSpacing/>
        <w:jc w:val="both"/>
        <w:rPr>
          <w:sz w:val="24"/>
          <w:szCs w:val="24"/>
          <w:lang w:val="uk-UA"/>
        </w:rPr>
      </w:pPr>
      <w:r w:rsidRPr="00A62950">
        <w:rPr>
          <w:sz w:val="24"/>
          <w:szCs w:val="24"/>
          <w:lang w:val="uk-UA"/>
        </w:rPr>
        <w:t>посилання на поточну справедливу вартість іншого інструмента, який в основному є подібним.</w:t>
      </w:r>
    </w:p>
    <w:p w:rsidR="001A7801" w:rsidRPr="005C6A4E" w:rsidRDefault="001A7801" w:rsidP="008403AB">
      <w:pPr>
        <w:pStyle w:val="12"/>
        <w:shd w:val="clear" w:color="auto" w:fill="auto"/>
        <w:tabs>
          <w:tab w:val="left" w:pos="0"/>
        </w:tabs>
        <w:spacing w:before="0" w:after="0" w:line="240" w:lineRule="auto"/>
        <w:ind w:firstLine="567"/>
        <w:contextualSpacing/>
        <w:jc w:val="both"/>
        <w:rPr>
          <w:sz w:val="24"/>
          <w:szCs w:val="24"/>
          <w:lang w:val="uk-UA"/>
        </w:rPr>
      </w:pPr>
      <w:r w:rsidRPr="005C6A4E">
        <w:rPr>
          <w:sz w:val="24"/>
          <w:szCs w:val="24"/>
          <w:lang w:val="uk-UA"/>
        </w:rPr>
        <w:t>Після первісного визнання фінансові активи оцінюються за їхньою справедливою вартістю без будь-яких вирахувань щодо витрат на операцію, які він може понести при продажу або іншому вибутті за винятком таких фінансових активів:</w:t>
      </w:r>
    </w:p>
    <w:p w:rsidR="001A7801" w:rsidRPr="005C6A4E" w:rsidRDefault="001A7801" w:rsidP="008403AB">
      <w:pPr>
        <w:pStyle w:val="12"/>
        <w:tabs>
          <w:tab w:val="left" w:pos="0"/>
        </w:tabs>
        <w:spacing w:before="0" w:after="0" w:line="240" w:lineRule="auto"/>
        <w:ind w:firstLine="567"/>
        <w:contextualSpacing/>
        <w:jc w:val="both"/>
        <w:rPr>
          <w:sz w:val="24"/>
          <w:szCs w:val="24"/>
          <w:lang w:val="uk-UA"/>
        </w:rPr>
      </w:pPr>
      <w:r w:rsidRPr="005C6A4E">
        <w:rPr>
          <w:sz w:val="24"/>
          <w:szCs w:val="24"/>
          <w:lang w:val="uk-UA"/>
        </w:rPr>
        <w:t>а) позики та дебіторська заборгованість, які оцінюються за амортизованою собівартістю, застосовуючи метод ефективного відсотка;</w:t>
      </w:r>
    </w:p>
    <w:p w:rsidR="001A7801" w:rsidRDefault="001A7801" w:rsidP="008403AB">
      <w:pPr>
        <w:pStyle w:val="12"/>
        <w:shd w:val="clear" w:color="auto" w:fill="auto"/>
        <w:tabs>
          <w:tab w:val="left" w:pos="0"/>
        </w:tabs>
        <w:spacing w:before="0" w:after="0" w:line="240" w:lineRule="auto"/>
        <w:ind w:firstLine="567"/>
        <w:contextualSpacing/>
        <w:jc w:val="both"/>
        <w:rPr>
          <w:sz w:val="24"/>
          <w:szCs w:val="24"/>
          <w:lang w:val="uk-UA"/>
        </w:rPr>
      </w:pPr>
      <w:r w:rsidRPr="005C6A4E">
        <w:rPr>
          <w:sz w:val="24"/>
          <w:szCs w:val="24"/>
          <w:lang w:val="uk-UA"/>
        </w:rPr>
        <w:t>б) інвестиції, утримувані до погашення, які оцінюються за амортизованою собівартістю, застосовуючи метод ефективного відсотка.</w:t>
      </w:r>
    </w:p>
    <w:p w:rsidR="001A7801" w:rsidRPr="00A62950" w:rsidRDefault="001A7801" w:rsidP="008403AB">
      <w:pPr>
        <w:pStyle w:val="12"/>
        <w:shd w:val="clear" w:color="auto" w:fill="auto"/>
        <w:tabs>
          <w:tab w:val="left" w:pos="0"/>
        </w:tabs>
        <w:spacing w:before="0" w:after="0" w:line="240" w:lineRule="auto"/>
        <w:ind w:firstLine="567"/>
        <w:contextualSpacing/>
        <w:jc w:val="both"/>
        <w:rPr>
          <w:sz w:val="24"/>
          <w:szCs w:val="24"/>
          <w:lang w:val="uk-UA"/>
        </w:rPr>
      </w:pPr>
      <w:r w:rsidRPr="00A62950">
        <w:rPr>
          <w:sz w:val="24"/>
          <w:szCs w:val="24"/>
          <w:lang w:val="uk-UA"/>
        </w:rPr>
        <w:t>Товариство визнає дебіторську заборгованість у балансі, коли стає стороною контрактних зобов'язань і внаслідок цього має юридичне право отримувати грошові або інші цінності.</w:t>
      </w:r>
    </w:p>
    <w:p w:rsidR="001A7801" w:rsidRPr="00A62950" w:rsidRDefault="001A7801" w:rsidP="008403AB">
      <w:pPr>
        <w:pStyle w:val="12"/>
        <w:shd w:val="clear" w:color="auto" w:fill="auto"/>
        <w:tabs>
          <w:tab w:val="left" w:pos="0"/>
        </w:tabs>
        <w:spacing w:before="0" w:after="0" w:line="240" w:lineRule="auto"/>
        <w:ind w:firstLine="567"/>
        <w:contextualSpacing/>
        <w:jc w:val="both"/>
        <w:rPr>
          <w:sz w:val="24"/>
          <w:szCs w:val="24"/>
          <w:lang w:val="uk-UA"/>
        </w:rPr>
      </w:pPr>
      <w:r w:rsidRPr="00A62950">
        <w:rPr>
          <w:sz w:val="24"/>
          <w:szCs w:val="24"/>
          <w:lang w:val="uk-UA"/>
        </w:rPr>
        <w:tab/>
        <w:t xml:space="preserve">Товариство здійснює переказ частини довгострокової дебіторської заборгованості до складу короткострокової, коли за умовами договору до погашення частини суми заборгованості залишається менше 365 днів. </w:t>
      </w:r>
    </w:p>
    <w:p w:rsidR="001A7801" w:rsidRPr="00A62950" w:rsidRDefault="001A7801" w:rsidP="008403AB">
      <w:pPr>
        <w:pStyle w:val="12"/>
        <w:shd w:val="clear" w:color="auto" w:fill="auto"/>
        <w:tabs>
          <w:tab w:val="left" w:pos="0"/>
        </w:tabs>
        <w:spacing w:before="0" w:after="0" w:line="240" w:lineRule="auto"/>
        <w:ind w:firstLine="567"/>
        <w:contextualSpacing/>
        <w:jc w:val="both"/>
        <w:rPr>
          <w:sz w:val="24"/>
          <w:szCs w:val="24"/>
          <w:lang w:val="uk-UA"/>
        </w:rPr>
      </w:pPr>
      <w:r w:rsidRPr="00A62950">
        <w:rPr>
          <w:sz w:val="24"/>
          <w:szCs w:val="24"/>
          <w:lang w:val="uk-UA"/>
        </w:rPr>
        <w:tab/>
        <w:t>Безнадійною визнається заборгованість, щодо якої не існує вірогідності її погашення. Даний факт затверджується керівником підприємства.</w:t>
      </w:r>
    </w:p>
    <w:p w:rsidR="001A7801" w:rsidRPr="00A62950" w:rsidRDefault="001A7801" w:rsidP="008403AB">
      <w:pPr>
        <w:pStyle w:val="12"/>
        <w:shd w:val="clear" w:color="auto" w:fill="auto"/>
        <w:tabs>
          <w:tab w:val="left" w:pos="0"/>
        </w:tabs>
        <w:spacing w:before="0" w:after="0" w:line="240" w:lineRule="auto"/>
        <w:ind w:firstLine="567"/>
        <w:contextualSpacing/>
        <w:jc w:val="both"/>
        <w:rPr>
          <w:sz w:val="24"/>
          <w:szCs w:val="24"/>
          <w:lang w:val="uk-UA"/>
        </w:rPr>
      </w:pPr>
      <w:r w:rsidRPr="00A62950">
        <w:rPr>
          <w:sz w:val="24"/>
          <w:szCs w:val="24"/>
          <w:lang w:val="uk-UA"/>
        </w:rPr>
        <w:tab/>
        <w:t>Виділяються такі види довгострокової дебіторської заборгованості:</w:t>
      </w:r>
    </w:p>
    <w:p w:rsidR="001A7801" w:rsidRPr="00A62950" w:rsidRDefault="001A7801" w:rsidP="008403AB">
      <w:pPr>
        <w:tabs>
          <w:tab w:val="left" w:pos="0"/>
        </w:tabs>
        <w:ind w:firstLine="567"/>
        <w:contextualSpacing/>
        <w:jc w:val="both"/>
        <w:rPr>
          <w:szCs w:val="24"/>
        </w:rPr>
      </w:pPr>
      <w:r w:rsidRPr="00A62950">
        <w:rPr>
          <w:szCs w:val="24"/>
        </w:rPr>
        <w:t>- дебіторська заборгованість за наданими кредитами;</w:t>
      </w:r>
    </w:p>
    <w:p w:rsidR="001A7801" w:rsidRPr="00A62950" w:rsidRDefault="001A7801" w:rsidP="008403AB">
      <w:pPr>
        <w:tabs>
          <w:tab w:val="left" w:pos="0"/>
        </w:tabs>
        <w:ind w:firstLine="567"/>
        <w:contextualSpacing/>
        <w:jc w:val="both"/>
        <w:rPr>
          <w:szCs w:val="24"/>
        </w:rPr>
      </w:pPr>
      <w:r w:rsidRPr="00A62950">
        <w:rPr>
          <w:szCs w:val="24"/>
        </w:rPr>
        <w:t>- інша довгострокова дебіторська заборгованість.</w:t>
      </w:r>
    </w:p>
    <w:p w:rsidR="001A7801" w:rsidRPr="00E1656C" w:rsidRDefault="001A7801" w:rsidP="008403AB">
      <w:pPr>
        <w:pStyle w:val="12"/>
        <w:shd w:val="clear" w:color="auto" w:fill="auto"/>
        <w:tabs>
          <w:tab w:val="left" w:pos="0"/>
        </w:tabs>
        <w:spacing w:before="0" w:after="0" w:line="240" w:lineRule="auto"/>
        <w:ind w:firstLine="567"/>
        <w:contextualSpacing/>
        <w:jc w:val="both"/>
        <w:rPr>
          <w:sz w:val="24"/>
          <w:szCs w:val="24"/>
          <w:lang w:val="uk-UA"/>
        </w:rPr>
      </w:pPr>
      <w:r w:rsidRPr="00A62950">
        <w:rPr>
          <w:sz w:val="24"/>
          <w:szCs w:val="24"/>
          <w:lang w:val="uk-UA"/>
        </w:rPr>
        <w:tab/>
      </w:r>
      <w:r w:rsidRPr="00E1656C">
        <w:rPr>
          <w:sz w:val="24"/>
          <w:szCs w:val="24"/>
          <w:lang w:val="uk-UA"/>
        </w:rPr>
        <w:t>Після первісного визнання дебіторська заборгованість оцінюється за амортизованою собівартістю, застосовуючи метод ефективного відсотка. Ефективна ставка відсотка - це ставка, яка точно дисконтує очікуваний потік майбутніх грошових платежів від строку погашення до поточної чистої балансової вартості фінансового активу.</w:t>
      </w:r>
    </w:p>
    <w:p w:rsidR="001A7801" w:rsidRPr="00E1656C" w:rsidRDefault="001A7801" w:rsidP="008403AB">
      <w:pPr>
        <w:tabs>
          <w:tab w:val="left" w:pos="0"/>
        </w:tabs>
        <w:ind w:firstLine="567"/>
        <w:contextualSpacing/>
        <w:jc w:val="both"/>
        <w:outlineLvl w:val="2"/>
        <w:rPr>
          <w:szCs w:val="24"/>
        </w:rPr>
      </w:pPr>
      <w:r w:rsidRPr="00E1656C">
        <w:rPr>
          <w:szCs w:val="24"/>
        </w:rPr>
        <w:t xml:space="preserve">Оцінка поточної дебіторської заборгованості ґрунтується на первісній (справедливій) вартості, якщо не можливо чітко визначити термін  погашення такої заборгованості. </w:t>
      </w:r>
    </w:p>
    <w:p w:rsidR="001A7801" w:rsidRPr="00173FC0" w:rsidRDefault="001A7801" w:rsidP="008403AB">
      <w:pPr>
        <w:pStyle w:val="3"/>
        <w:tabs>
          <w:tab w:val="left" w:pos="0"/>
        </w:tabs>
        <w:spacing w:before="0" w:after="0" w:line="240" w:lineRule="auto"/>
        <w:ind w:firstLine="567"/>
        <w:contextualSpacing/>
        <w:jc w:val="both"/>
        <w:rPr>
          <w:rFonts w:ascii="Times New Roman" w:hAnsi="Times New Roman"/>
          <w:b w:val="0"/>
          <w:bCs w:val="0"/>
          <w:sz w:val="24"/>
          <w:szCs w:val="24"/>
          <w:lang w:val="uk-UA" w:eastAsia="uk-UA"/>
        </w:rPr>
      </w:pPr>
      <w:r w:rsidRPr="00E1656C">
        <w:rPr>
          <w:rFonts w:ascii="Times New Roman" w:hAnsi="Times New Roman"/>
          <w:b w:val="0"/>
          <w:sz w:val="24"/>
          <w:szCs w:val="24"/>
        </w:rPr>
        <w:t xml:space="preserve">Характеристика </w:t>
      </w:r>
      <w:r w:rsidRPr="00173FC0">
        <w:rPr>
          <w:rFonts w:ascii="Times New Roman" w:hAnsi="Times New Roman"/>
          <w:b w:val="0"/>
          <w:sz w:val="24"/>
          <w:szCs w:val="24"/>
          <w:lang w:val="uk-UA"/>
        </w:rPr>
        <w:t>фінансових активів (з</w:t>
      </w:r>
      <w:r w:rsidRPr="00173FC0">
        <w:rPr>
          <w:rFonts w:ascii="Times New Roman" w:hAnsi="Times New Roman"/>
          <w:b w:val="0"/>
          <w:bCs w:val="0"/>
          <w:sz w:val="24"/>
          <w:szCs w:val="24"/>
          <w:lang w:val="uk-UA" w:eastAsia="uk-UA"/>
        </w:rPr>
        <w:t xml:space="preserve"> застосуванням МСФЗ  9)</w:t>
      </w:r>
    </w:p>
    <w:p w:rsidR="001A7801" w:rsidRPr="00194363" w:rsidRDefault="001A7801" w:rsidP="001A7801">
      <w:pPr>
        <w:mirrorIndents/>
        <w:rPr>
          <w:rFonts w:eastAsia="Times New Roman"/>
          <w:b/>
          <w:sz w:val="20"/>
          <w:lang w:eastAsia="uk-UA"/>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2165"/>
        <w:gridCol w:w="1980"/>
        <w:gridCol w:w="1620"/>
        <w:gridCol w:w="1742"/>
        <w:gridCol w:w="1652"/>
      </w:tblGrid>
      <w:tr w:rsidR="001A7801" w:rsidRPr="00194363" w:rsidTr="007E7EBF">
        <w:tc>
          <w:tcPr>
            <w:tcW w:w="823"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 xml:space="preserve">№п/п </w:t>
            </w:r>
          </w:p>
        </w:tc>
        <w:tc>
          <w:tcPr>
            <w:tcW w:w="2165"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Вид фінансового активу</w:t>
            </w:r>
          </w:p>
        </w:tc>
        <w:tc>
          <w:tcPr>
            <w:tcW w:w="1980"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Предмет заборгованості</w:t>
            </w:r>
          </w:p>
        </w:tc>
        <w:tc>
          <w:tcPr>
            <w:tcW w:w="1620"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Назва контрагента</w:t>
            </w:r>
          </w:p>
        </w:tc>
        <w:tc>
          <w:tcPr>
            <w:tcW w:w="1742" w:type="dxa"/>
            <w:shd w:val="clear" w:color="auto" w:fill="auto"/>
          </w:tcPr>
          <w:p w:rsidR="001A7801" w:rsidRPr="00194363" w:rsidRDefault="001A7801" w:rsidP="00C01A09">
            <w:pPr>
              <w:mirrorIndents/>
              <w:jc w:val="center"/>
              <w:rPr>
                <w:rFonts w:eastAsia="Times New Roman"/>
                <w:sz w:val="20"/>
                <w:lang w:eastAsia="uk-UA"/>
              </w:rPr>
            </w:pPr>
            <w:r w:rsidRPr="00194363">
              <w:rPr>
                <w:rFonts w:eastAsia="Times New Roman"/>
                <w:sz w:val="20"/>
                <w:lang w:eastAsia="uk-UA"/>
              </w:rPr>
              <w:t>На 31.12.201</w:t>
            </w:r>
            <w:r w:rsidR="00C01A09">
              <w:rPr>
                <w:rFonts w:eastAsia="Times New Roman"/>
                <w:sz w:val="20"/>
                <w:lang w:eastAsia="uk-UA"/>
              </w:rPr>
              <w:t>9</w:t>
            </w:r>
            <w:r w:rsidRPr="00194363">
              <w:rPr>
                <w:rFonts w:eastAsia="Times New Roman"/>
                <w:sz w:val="20"/>
                <w:lang w:eastAsia="uk-UA"/>
              </w:rPr>
              <w:t>р. тис грн.</w:t>
            </w:r>
          </w:p>
        </w:tc>
        <w:tc>
          <w:tcPr>
            <w:tcW w:w="1652" w:type="dxa"/>
            <w:shd w:val="clear" w:color="auto" w:fill="auto"/>
          </w:tcPr>
          <w:p w:rsidR="001A7801" w:rsidRPr="00194363" w:rsidRDefault="001A7801" w:rsidP="00C01A09">
            <w:pPr>
              <w:mirrorIndents/>
              <w:jc w:val="center"/>
              <w:rPr>
                <w:rFonts w:eastAsia="Times New Roman"/>
                <w:sz w:val="20"/>
                <w:lang w:eastAsia="uk-UA"/>
              </w:rPr>
            </w:pPr>
            <w:r w:rsidRPr="00194363">
              <w:rPr>
                <w:rFonts w:eastAsia="Times New Roman"/>
                <w:sz w:val="20"/>
                <w:lang w:eastAsia="uk-UA"/>
              </w:rPr>
              <w:t>На 31.12.201</w:t>
            </w:r>
            <w:r w:rsidR="00C01A09">
              <w:rPr>
                <w:rFonts w:eastAsia="Times New Roman"/>
                <w:sz w:val="20"/>
                <w:lang w:eastAsia="uk-UA"/>
              </w:rPr>
              <w:t>8</w:t>
            </w:r>
            <w:r w:rsidRPr="00194363">
              <w:rPr>
                <w:rFonts w:eastAsia="Times New Roman"/>
                <w:sz w:val="20"/>
                <w:lang w:eastAsia="uk-UA"/>
              </w:rPr>
              <w:t>р. тис.грн.</w:t>
            </w:r>
          </w:p>
        </w:tc>
      </w:tr>
      <w:tr w:rsidR="001A7801" w:rsidRPr="00194363" w:rsidTr="007E7EBF">
        <w:tc>
          <w:tcPr>
            <w:tcW w:w="823"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1</w:t>
            </w:r>
          </w:p>
        </w:tc>
        <w:tc>
          <w:tcPr>
            <w:tcW w:w="2165"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2</w:t>
            </w:r>
          </w:p>
        </w:tc>
        <w:tc>
          <w:tcPr>
            <w:tcW w:w="1980"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3</w:t>
            </w:r>
          </w:p>
        </w:tc>
        <w:tc>
          <w:tcPr>
            <w:tcW w:w="1620"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4</w:t>
            </w:r>
          </w:p>
        </w:tc>
        <w:tc>
          <w:tcPr>
            <w:tcW w:w="1742" w:type="dxa"/>
            <w:shd w:val="clear" w:color="auto" w:fill="auto"/>
          </w:tcPr>
          <w:p w:rsidR="001A7801" w:rsidRPr="00194363" w:rsidRDefault="001A7801" w:rsidP="007E7EBF">
            <w:pPr>
              <w:mirrorIndents/>
              <w:jc w:val="center"/>
              <w:rPr>
                <w:rFonts w:eastAsia="Times New Roman"/>
                <w:sz w:val="20"/>
                <w:lang w:eastAsia="uk-UA"/>
              </w:rPr>
            </w:pPr>
            <w:r w:rsidRPr="00194363">
              <w:rPr>
                <w:rFonts w:eastAsia="Times New Roman"/>
                <w:sz w:val="20"/>
                <w:lang w:eastAsia="uk-UA"/>
              </w:rPr>
              <w:t>5</w:t>
            </w:r>
          </w:p>
        </w:tc>
        <w:tc>
          <w:tcPr>
            <w:tcW w:w="1652" w:type="dxa"/>
            <w:shd w:val="clear" w:color="auto" w:fill="auto"/>
          </w:tcPr>
          <w:p w:rsidR="001A7801" w:rsidRPr="00194363" w:rsidRDefault="001A7801" w:rsidP="007E7EBF">
            <w:pPr>
              <w:mirrorIndents/>
              <w:jc w:val="center"/>
              <w:outlineLvl w:val="2"/>
              <w:rPr>
                <w:rFonts w:eastAsia="Times New Roman"/>
                <w:bCs/>
                <w:sz w:val="20"/>
                <w:lang w:eastAsia="uk-UA"/>
              </w:rPr>
            </w:pPr>
            <w:r w:rsidRPr="00194363">
              <w:rPr>
                <w:rFonts w:eastAsia="Times New Roman"/>
                <w:bCs/>
                <w:sz w:val="20"/>
                <w:lang w:eastAsia="uk-UA"/>
              </w:rPr>
              <w:t>6</w:t>
            </w:r>
          </w:p>
        </w:tc>
      </w:tr>
      <w:tr w:rsidR="001A7801" w:rsidRPr="00194363" w:rsidTr="007E7EBF">
        <w:tc>
          <w:tcPr>
            <w:tcW w:w="9982" w:type="dxa"/>
            <w:gridSpan w:val="6"/>
            <w:shd w:val="clear" w:color="auto" w:fill="auto"/>
          </w:tcPr>
          <w:p w:rsidR="001A7801" w:rsidRPr="00194363" w:rsidRDefault="001A7801" w:rsidP="007E7EBF">
            <w:pPr>
              <w:mirrorIndents/>
              <w:jc w:val="center"/>
              <w:outlineLvl w:val="2"/>
              <w:rPr>
                <w:rFonts w:eastAsia="Times New Roman"/>
                <w:bCs/>
                <w:i/>
                <w:sz w:val="20"/>
                <w:lang w:eastAsia="uk-UA"/>
              </w:rPr>
            </w:pPr>
            <w:r w:rsidRPr="00194363">
              <w:rPr>
                <w:rFonts w:eastAsia="Times New Roman"/>
                <w:bCs/>
                <w:sz w:val="20"/>
                <w:lang w:eastAsia="uk-UA"/>
              </w:rPr>
              <w:t xml:space="preserve">Фінансові активів, що оцінюються </w:t>
            </w:r>
            <w:r w:rsidRPr="00194363">
              <w:rPr>
                <w:rFonts w:eastAsia="Times New Roman"/>
                <w:b/>
                <w:bCs/>
                <w:sz w:val="20"/>
                <w:lang w:eastAsia="uk-UA"/>
              </w:rPr>
              <w:t>за амортизованою вартістю</w:t>
            </w:r>
          </w:p>
        </w:tc>
      </w:tr>
      <w:tr w:rsidR="001A7801" w:rsidRPr="00FB0545" w:rsidTr="007E7EBF">
        <w:tc>
          <w:tcPr>
            <w:tcW w:w="823" w:type="dxa"/>
            <w:shd w:val="clear" w:color="auto" w:fill="auto"/>
          </w:tcPr>
          <w:p w:rsidR="001A7801" w:rsidRPr="00FB0545" w:rsidRDefault="001A7801" w:rsidP="007E7EBF">
            <w:pPr>
              <w:mirrorIndents/>
              <w:jc w:val="center"/>
              <w:outlineLvl w:val="2"/>
              <w:rPr>
                <w:rFonts w:eastAsia="Times New Roman"/>
                <w:bCs/>
                <w:sz w:val="20"/>
                <w:lang w:eastAsia="uk-UA"/>
              </w:rPr>
            </w:pPr>
            <w:r w:rsidRPr="00FB0545">
              <w:rPr>
                <w:rFonts w:eastAsia="Times New Roman"/>
                <w:bCs/>
                <w:sz w:val="20"/>
                <w:lang w:eastAsia="uk-UA"/>
              </w:rPr>
              <w:t>1</w:t>
            </w:r>
          </w:p>
        </w:tc>
        <w:tc>
          <w:tcPr>
            <w:tcW w:w="2165"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Торговельна дебіторська заборгованість</w:t>
            </w:r>
          </w:p>
        </w:tc>
        <w:tc>
          <w:tcPr>
            <w:tcW w:w="1980" w:type="dxa"/>
            <w:shd w:val="clear" w:color="auto" w:fill="auto"/>
          </w:tcPr>
          <w:p w:rsidR="001A7801" w:rsidRPr="009550D6" w:rsidRDefault="001A7801" w:rsidP="001A7801">
            <w:pPr>
              <w:numPr>
                <w:ilvl w:val="0"/>
                <w:numId w:val="10"/>
              </w:numPr>
              <w:mirrorIndents/>
              <w:jc w:val="both"/>
              <w:outlineLvl w:val="2"/>
              <w:rPr>
                <w:rFonts w:eastAsia="Times New Roman"/>
                <w:bCs/>
                <w:sz w:val="22"/>
                <w:szCs w:val="22"/>
                <w:lang w:eastAsia="uk-UA"/>
              </w:rPr>
            </w:pPr>
          </w:p>
        </w:tc>
        <w:tc>
          <w:tcPr>
            <w:tcW w:w="1620"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 xml:space="preserve"> -</w:t>
            </w:r>
          </w:p>
        </w:tc>
        <w:tc>
          <w:tcPr>
            <w:tcW w:w="1742"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 xml:space="preserve"> -</w:t>
            </w:r>
          </w:p>
        </w:tc>
        <w:tc>
          <w:tcPr>
            <w:tcW w:w="1652"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 xml:space="preserve"> -</w:t>
            </w:r>
          </w:p>
        </w:tc>
      </w:tr>
      <w:tr w:rsidR="00E542B6" w:rsidRPr="00FB0545" w:rsidTr="007E7EBF">
        <w:tc>
          <w:tcPr>
            <w:tcW w:w="823" w:type="dxa"/>
            <w:shd w:val="clear" w:color="auto" w:fill="auto"/>
          </w:tcPr>
          <w:p w:rsidR="00E542B6" w:rsidRPr="00FB0545" w:rsidRDefault="00E542B6" w:rsidP="007E7EBF">
            <w:pPr>
              <w:mirrorIndents/>
              <w:jc w:val="center"/>
              <w:outlineLvl w:val="2"/>
              <w:rPr>
                <w:rFonts w:eastAsia="Times New Roman"/>
                <w:bCs/>
                <w:sz w:val="20"/>
                <w:lang w:eastAsia="uk-UA"/>
              </w:rPr>
            </w:pPr>
            <w:r w:rsidRPr="00FB0545">
              <w:rPr>
                <w:rFonts w:eastAsia="Times New Roman"/>
                <w:bCs/>
                <w:sz w:val="20"/>
                <w:lang w:eastAsia="uk-UA"/>
              </w:rPr>
              <w:t>2</w:t>
            </w:r>
          </w:p>
        </w:tc>
        <w:tc>
          <w:tcPr>
            <w:tcW w:w="2165" w:type="dxa"/>
            <w:shd w:val="clear" w:color="auto" w:fill="auto"/>
          </w:tcPr>
          <w:p w:rsidR="00E542B6" w:rsidRPr="009550D6" w:rsidRDefault="00E542B6" w:rsidP="00194363">
            <w:pPr>
              <w:mirrorIndents/>
              <w:jc w:val="both"/>
              <w:rPr>
                <w:rFonts w:eastAsia="Times New Roman"/>
                <w:sz w:val="22"/>
                <w:szCs w:val="22"/>
                <w:lang w:eastAsia="uk-UA"/>
              </w:rPr>
            </w:pPr>
            <w:r w:rsidRPr="009550D6">
              <w:rPr>
                <w:rFonts w:eastAsia="Times New Roman"/>
                <w:sz w:val="22"/>
                <w:szCs w:val="22"/>
                <w:lang w:eastAsia="uk-UA"/>
              </w:rPr>
              <w:t>Дебіторська заборгованість</w:t>
            </w:r>
            <w:r w:rsidRPr="009550D6">
              <w:rPr>
                <w:sz w:val="22"/>
                <w:szCs w:val="22"/>
              </w:rPr>
              <w:t xml:space="preserve"> </w:t>
            </w:r>
          </w:p>
        </w:tc>
        <w:tc>
          <w:tcPr>
            <w:tcW w:w="1980" w:type="dxa"/>
            <w:shd w:val="clear" w:color="auto" w:fill="auto"/>
          </w:tcPr>
          <w:p w:rsidR="00E542B6" w:rsidRPr="009550D6" w:rsidRDefault="00194363" w:rsidP="007E7EBF">
            <w:pPr>
              <w:mirrorIndents/>
              <w:jc w:val="both"/>
              <w:outlineLvl w:val="2"/>
              <w:rPr>
                <w:rFonts w:eastAsia="Times New Roman"/>
                <w:bCs/>
                <w:sz w:val="22"/>
                <w:szCs w:val="22"/>
                <w:lang w:eastAsia="uk-UA"/>
              </w:rPr>
            </w:pPr>
            <w:r w:rsidRPr="009550D6">
              <w:rPr>
                <w:sz w:val="22"/>
                <w:szCs w:val="22"/>
              </w:rPr>
              <w:t>щодо наданих кредитів</w:t>
            </w:r>
          </w:p>
        </w:tc>
        <w:tc>
          <w:tcPr>
            <w:tcW w:w="1620" w:type="dxa"/>
            <w:shd w:val="clear" w:color="auto" w:fill="auto"/>
          </w:tcPr>
          <w:p w:rsidR="00E542B6" w:rsidRPr="009550D6" w:rsidRDefault="00E542B6" w:rsidP="007E7EBF">
            <w:pPr>
              <w:mirrorIndents/>
              <w:jc w:val="both"/>
              <w:rPr>
                <w:rFonts w:eastAsia="Times New Roman"/>
                <w:sz w:val="22"/>
                <w:szCs w:val="22"/>
                <w:lang w:eastAsia="uk-UA"/>
              </w:rPr>
            </w:pPr>
          </w:p>
        </w:tc>
        <w:tc>
          <w:tcPr>
            <w:tcW w:w="1742" w:type="dxa"/>
            <w:shd w:val="clear" w:color="auto" w:fill="auto"/>
          </w:tcPr>
          <w:p w:rsidR="00E542B6" w:rsidRPr="009550D6" w:rsidRDefault="00FB0545" w:rsidP="00010846">
            <w:pPr>
              <w:mirrorIndents/>
              <w:jc w:val="both"/>
              <w:rPr>
                <w:rFonts w:eastAsia="Times New Roman"/>
                <w:sz w:val="22"/>
                <w:szCs w:val="22"/>
                <w:lang w:eastAsia="uk-UA"/>
              </w:rPr>
            </w:pPr>
            <w:r w:rsidRPr="009550D6">
              <w:rPr>
                <w:rFonts w:eastAsia="Times New Roman"/>
                <w:sz w:val="22"/>
                <w:szCs w:val="22"/>
                <w:lang w:eastAsia="uk-UA"/>
              </w:rPr>
              <w:t xml:space="preserve">  14</w:t>
            </w:r>
            <w:r w:rsidR="00010846" w:rsidRPr="009550D6">
              <w:rPr>
                <w:rFonts w:eastAsia="Times New Roman"/>
                <w:sz w:val="22"/>
                <w:szCs w:val="22"/>
                <w:lang w:eastAsia="uk-UA"/>
              </w:rPr>
              <w:t>6</w:t>
            </w:r>
            <w:r w:rsidRPr="009550D6">
              <w:rPr>
                <w:rFonts w:eastAsia="Times New Roman"/>
                <w:sz w:val="22"/>
                <w:szCs w:val="22"/>
                <w:lang w:eastAsia="uk-UA"/>
              </w:rPr>
              <w:t>7</w:t>
            </w:r>
          </w:p>
        </w:tc>
        <w:tc>
          <w:tcPr>
            <w:tcW w:w="1652" w:type="dxa"/>
            <w:shd w:val="clear" w:color="auto" w:fill="auto"/>
          </w:tcPr>
          <w:p w:rsidR="00E542B6" w:rsidRPr="009550D6" w:rsidRDefault="00194363" w:rsidP="00010846">
            <w:pPr>
              <w:mirrorIndents/>
              <w:jc w:val="both"/>
              <w:rPr>
                <w:rFonts w:eastAsia="Times New Roman"/>
                <w:sz w:val="22"/>
                <w:szCs w:val="22"/>
                <w:lang w:eastAsia="uk-UA"/>
              </w:rPr>
            </w:pPr>
            <w:r w:rsidRPr="009550D6">
              <w:rPr>
                <w:rFonts w:eastAsia="Times New Roman"/>
                <w:sz w:val="22"/>
                <w:szCs w:val="22"/>
                <w:lang w:eastAsia="uk-UA"/>
              </w:rPr>
              <w:t>1</w:t>
            </w:r>
            <w:r w:rsidR="00010846" w:rsidRPr="009550D6">
              <w:rPr>
                <w:rFonts w:eastAsia="Times New Roman"/>
                <w:sz w:val="22"/>
                <w:szCs w:val="22"/>
                <w:lang w:eastAsia="uk-UA"/>
              </w:rPr>
              <w:t>547</w:t>
            </w:r>
          </w:p>
        </w:tc>
      </w:tr>
      <w:tr w:rsidR="001A7801" w:rsidRPr="00FB0545" w:rsidTr="007E7EBF">
        <w:tc>
          <w:tcPr>
            <w:tcW w:w="823" w:type="dxa"/>
            <w:shd w:val="clear" w:color="auto" w:fill="auto"/>
          </w:tcPr>
          <w:p w:rsidR="001A7801" w:rsidRPr="00FB0545" w:rsidRDefault="00E542B6" w:rsidP="007E7EBF">
            <w:pPr>
              <w:mirrorIndents/>
              <w:jc w:val="center"/>
              <w:outlineLvl w:val="2"/>
              <w:rPr>
                <w:rFonts w:eastAsia="Times New Roman"/>
                <w:bCs/>
                <w:sz w:val="20"/>
                <w:lang w:eastAsia="uk-UA"/>
              </w:rPr>
            </w:pPr>
            <w:r w:rsidRPr="00FB0545">
              <w:rPr>
                <w:rFonts w:eastAsia="Times New Roman"/>
                <w:bCs/>
                <w:sz w:val="20"/>
                <w:lang w:eastAsia="uk-UA"/>
              </w:rPr>
              <w:lastRenderedPageBreak/>
              <w:t>3</w:t>
            </w:r>
          </w:p>
        </w:tc>
        <w:tc>
          <w:tcPr>
            <w:tcW w:w="2165"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Інша дебіторська заборгованість</w:t>
            </w:r>
          </w:p>
        </w:tc>
        <w:tc>
          <w:tcPr>
            <w:tcW w:w="1980" w:type="dxa"/>
            <w:shd w:val="clear" w:color="auto" w:fill="auto"/>
          </w:tcPr>
          <w:p w:rsidR="001A7801" w:rsidRPr="009550D6" w:rsidRDefault="00194363" w:rsidP="007E7EBF">
            <w:pPr>
              <w:mirrorIndents/>
              <w:jc w:val="both"/>
              <w:outlineLvl w:val="2"/>
              <w:rPr>
                <w:rFonts w:eastAsia="Times New Roman"/>
                <w:bCs/>
                <w:sz w:val="22"/>
                <w:szCs w:val="22"/>
                <w:lang w:eastAsia="uk-UA"/>
              </w:rPr>
            </w:pPr>
            <w:r w:rsidRPr="009550D6">
              <w:rPr>
                <w:rFonts w:eastAsia="Times New Roman"/>
                <w:bCs/>
                <w:sz w:val="22"/>
                <w:szCs w:val="22"/>
                <w:lang w:eastAsia="uk-UA"/>
              </w:rPr>
              <w:t>-</w:t>
            </w:r>
          </w:p>
        </w:tc>
        <w:tc>
          <w:tcPr>
            <w:tcW w:w="1620" w:type="dxa"/>
            <w:shd w:val="clear" w:color="auto" w:fill="auto"/>
          </w:tcPr>
          <w:p w:rsidR="001A7801" w:rsidRPr="009550D6" w:rsidRDefault="00E542B6" w:rsidP="007E7EBF">
            <w:pPr>
              <w:mirrorIndents/>
              <w:jc w:val="both"/>
              <w:rPr>
                <w:rFonts w:eastAsia="Times New Roman"/>
                <w:sz w:val="22"/>
                <w:szCs w:val="22"/>
                <w:lang w:eastAsia="uk-UA"/>
              </w:rPr>
            </w:pPr>
            <w:r w:rsidRPr="009550D6">
              <w:rPr>
                <w:rFonts w:eastAsia="Times New Roman"/>
                <w:sz w:val="22"/>
                <w:szCs w:val="22"/>
                <w:lang w:eastAsia="uk-UA"/>
              </w:rPr>
              <w:t>-</w:t>
            </w:r>
          </w:p>
        </w:tc>
        <w:tc>
          <w:tcPr>
            <w:tcW w:w="1742" w:type="dxa"/>
            <w:shd w:val="clear" w:color="auto" w:fill="auto"/>
          </w:tcPr>
          <w:p w:rsidR="001A7801" w:rsidRPr="009550D6" w:rsidRDefault="00FB0545" w:rsidP="00010846">
            <w:pPr>
              <w:mirrorIndents/>
              <w:jc w:val="both"/>
              <w:rPr>
                <w:rFonts w:eastAsia="Times New Roman"/>
                <w:sz w:val="22"/>
                <w:szCs w:val="22"/>
                <w:lang w:eastAsia="uk-UA"/>
              </w:rPr>
            </w:pPr>
            <w:r w:rsidRPr="009550D6">
              <w:rPr>
                <w:rFonts w:eastAsia="Times New Roman"/>
                <w:sz w:val="22"/>
                <w:szCs w:val="22"/>
                <w:lang w:eastAsia="uk-UA"/>
              </w:rPr>
              <w:t xml:space="preserve">     </w:t>
            </w:r>
            <w:r w:rsidR="00010846" w:rsidRPr="009550D6">
              <w:rPr>
                <w:rFonts w:eastAsia="Times New Roman"/>
                <w:sz w:val="22"/>
                <w:szCs w:val="22"/>
                <w:lang w:eastAsia="uk-UA"/>
              </w:rPr>
              <w:t>-</w:t>
            </w:r>
          </w:p>
        </w:tc>
        <w:tc>
          <w:tcPr>
            <w:tcW w:w="1652" w:type="dxa"/>
            <w:shd w:val="clear" w:color="auto" w:fill="auto"/>
          </w:tcPr>
          <w:p w:rsidR="001A7801" w:rsidRPr="009550D6" w:rsidRDefault="00010846" w:rsidP="00010846">
            <w:pPr>
              <w:mirrorIndents/>
              <w:jc w:val="both"/>
              <w:rPr>
                <w:rFonts w:eastAsia="Times New Roman"/>
                <w:sz w:val="22"/>
                <w:szCs w:val="22"/>
                <w:lang w:eastAsia="uk-UA"/>
              </w:rPr>
            </w:pPr>
            <w:r w:rsidRPr="009550D6">
              <w:rPr>
                <w:rFonts w:eastAsia="Times New Roman"/>
                <w:sz w:val="22"/>
                <w:szCs w:val="22"/>
                <w:lang w:eastAsia="uk-UA"/>
              </w:rPr>
              <w:t>78</w:t>
            </w:r>
          </w:p>
        </w:tc>
      </w:tr>
      <w:tr w:rsidR="001A7801" w:rsidRPr="00FB0545" w:rsidTr="007E7EBF">
        <w:tc>
          <w:tcPr>
            <w:tcW w:w="823" w:type="dxa"/>
            <w:shd w:val="clear" w:color="auto" w:fill="auto"/>
          </w:tcPr>
          <w:p w:rsidR="001A7801" w:rsidRPr="00FB0545" w:rsidRDefault="00E542B6" w:rsidP="007E7EBF">
            <w:pPr>
              <w:mirrorIndents/>
              <w:jc w:val="center"/>
              <w:outlineLvl w:val="2"/>
              <w:rPr>
                <w:rFonts w:eastAsia="Times New Roman"/>
                <w:bCs/>
                <w:sz w:val="20"/>
                <w:lang w:eastAsia="uk-UA"/>
              </w:rPr>
            </w:pPr>
            <w:r w:rsidRPr="00FB0545">
              <w:rPr>
                <w:rFonts w:eastAsia="Times New Roman"/>
                <w:bCs/>
                <w:sz w:val="20"/>
                <w:lang w:eastAsia="uk-UA"/>
              </w:rPr>
              <w:t>4</w:t>
            </w:r>
          </w:p>
        </w:tc>
        <w:tc>
          <w:tcPr>
            <w:tcW w:w="2165"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Факторинг (за наявності операцій)</w:t>
            </w:r>
          </w:p>
        </w:tc>
        <w:tc>
          <w:tcPr>
            <w:tcW w:w="1980" w:type="dxa"/>
            <w:shd w:val="clear" w:color="auto" w:fill="auto"/>
          </w:tcPr>
          <w:p w:rsidR="001A7801" w:rsidRPr="009550D6" w:rsidRDefault="001A7801" w:rsidP="001A7801">
            <w:pPr>
              <w:numPr>
                <w:ilvl w:val="0"/>
                <w:numId w:val="10"/>
              </w:numPr>
              <w:mirrorIndents/>
              <w:jc w:val="both"/>
              <w:outlineLvl w:val="2"/>
              <w:rPr>
                <w:rFonts w:eastAsia="Times New Roman"/>
                <w:bCs/>
                <w:sz w:val="22"/>
                <w:szCs w:val="22"/>
                <w:lang w:eastAsia="uk-UA"/>
              </w:rPr>
            </w:pPr>
          </w:p>
        </w:tc>
        <w:tc>
          <w:tcPr>
            <w:tcW w:w="1620"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 xml:space="preserve">  -</w:t>
            </w:r>
          </w:p>
        </w:tc>
        <w:tc>
          <w:tcPr>
            <w:tcW w:w="1742"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 xml:space="preserve">  - </w:t>
            </w:r>
          </w:p>
        </w:tc>
        <w:tc>
          <w:tcPr>
            <w:tcW w:w="1652" w:type="dxa"/>
            <w:shd w:val="clear" w:color="auto" w:fill="auto"/>
          </w:tcPr>
          <w:p w:rsidR="001A7801" w:rsidRPr="009550D6" w:rsidRDefault="001A7801" w:rsidP="007E7EBF">
            <w:pPr>
              <w:mirrorIndents/>
              <w:jc w:val="both"/>
              <w:rPr>
                <w:rFonts w:eastAsia="Times New Roman"/>
                <w:sz w:val="22"/>
                <w:szCs w:val="22"/>
                <w:lang w:eastAsia="uk-UA"/>
              </w:rPr>
            </w:pPr>
            <w:r w:rsidRPr="009550D6">
              <w:rPr>
                <w:rFonts w:eastAsia="Times New Roman"/>
                <w:sz w:val="22"/>
                <w:szCs w:val="22"/>
                <w:lang w:eastAsia="uk-UA"/>
              </w:rPr>
              <w:t xml:space="preserve"> - </w:t>
            </w:r>
          </w:p>
        </w:tc>
      </w:tr>
      <w:tr w:rsidR="001A7801" w:rsidRPr="00FB0545" w:rsidTr="007E7EBF">
        <w:tc>
          <w:tcPr>
            <w:tcW w:w="823" w:type="dxa"/>
            <w:shd w:val="clear" w:color="auto" w:fill="auto"/>
          </w:tcPr>
          <w:p w:rsidR="001A7801" w:rsidRPr="00FB0545" w:rsidRDefault="00E542B6" w:rsidP="007E7EBF">
            <w:pPr>
              <w:mirrorIndents/>
              <w:jc w:val="center"/>
              <w:outlineLvl w:val="2"/>
              <w:rPr>
                <w:rFonts w:eastAsia="Times New Roman"/>
                <w:bCs/>
                <w:sz w:val="20"/>
                <w:lang w:eastAsia="uk-UA"/>
              </w:rPr>
            </w:pPr>
            <w:r w:rsidRPr="00FB0545">
              <w:rPr>
                <w:rFonts w:eastAsia="Times New Roman"/>
                <w:bCs/>
                <w:sz w:val="20"/>
                <w:lang w:eastAsia="uk-UA"/>
              </w:rPr>
              <w:t>5</w:t>
            </w:r>
          </w:p>
        </w:tc>
        <w:tc>
          <w:tcPr>
            <w:tcW w:w="2165" w:type="dxa"/>
            <w:shd w:val="clear" w:color="auto" w:fill="auto"/>
          </w:tcPr>
          <w:p w:rsidR="001A7801" w:rsidRPr="009550D6" w:rsidRDefault="001A7801" w:rsidP="007E7EBF">
            <w:pPr>
              <w:mirrorIndents/>
              <w:rPr>
                <w:rFonts w:eastAsia="Times New Roman"/>
                <w:sz w:val="22"/>
                <w:szCs w:val="22"/>
                <w:lang w:eastAsia="uk-UA"/>
              </w:rPr>
            </w:pPr>
            <w:r w:rsidRPr="009550D6">
              <w:rPr>
                <w:rFonts w:eastAsia="Times New Roman"/>
                <w:sz w:val="22"/>
                <w:szCs w:val="22"/>
                <w:lang w:eastAsia="uk-UA"/>
              </w:rPr>
              <w:t>Позики надані</w:t>
            </w:r>
          </w:p>
        </w:tc>
        <w:tc>
          <w:tcPr>
            <w:tcW w:w="1980" w:type="dxa"/>
            <w:shd w:val="clear" w:color="auto" w:fill="auto"/>
          </w:tcPr>
          <w:p w:rsidR="001A7801" w:rsidRPr="009550D6" w:rsidRDefault="001A7801" w:rsidP="001A7801">
            <w:pPr>
              <w:numPr>
                <w:ilvl w:val="0"/>
                <w:numId w:val="10"/>
              </w:numPr>
              <w:mirrorIndents/>
              <w:jc w:val="both"/>
              <w:outlineLvl w:val="2"/>
              <w:rPr>
                <w:rFonts w:eastAsia="Times New Roman"/>
                <w:bCs/>
                <w:sz w:val="22"/>
                <w:szCs w:val="22"/>
                <w:lang w:eastAsia="uk-UA"/>
              </w:rPr>
            </w:pPr>
          </w:p>
        </w:tc>
        <w:tc>
          <w:tcPr>
            <w:tcW w:w="1620" w:type="dxa"/>
            <w:shd w:val="clear" w:color="auto" w:fill="auto"/>
          </w:tcPr>
          <w:p w:rsidR="001A7801" w:rsidRPr="009550D6" w:rsidRDefault="001A7801" w:rsidP="001A7801">
            <w:pPr>
              <w:numPr>
                <w:ilvl w:val="0"/>
                <w:numId w:val="10"/>
              </w:numPr>
              <w:mirrorIndents/>
              <w:jc w:val="both"/>
              <w:rPr>
                <w:rFonts w:eastAsia="Times New Roman"/>
                <w:sz w:val="22"/>
                <w:szCs w:val="22"/>
                <w:lang w:eastAsia="uk-UA"/>
              </w:rPr>
            </w:pPr>
          </w:p>
        </w:tc>
        <w:tc>
          <w:tcPr>
            <w:tcW w:w="1742" w:type="dxa"/>
            <w:shd w:val="clear" w:color="auto" w:fill="auto"/>
          </w:tcPr>
          <w:p w:rsidR="001A7801" w:rsidRPr="009550D6" w:rsidRDefault="001A7801" w:rsidP="001A7801">
            <w:pPr>
              <w:numPr>
                <w:ilvl w:val="0"/>
                <w:numId w:val="10"/>
              </w:numPr>
              <w:mirrorIndents/>
              <w:jc w:val="both"/>
              <w:rPr>
                <w:rFonts w:eastAsia="Times New Roman"/>
                <w:sz w:val="22"/>
                <w:szCs w:val="22"/>
                <w:lang w:eastAsia="uk-UA"/>
              </w:rPr>
            </w:pPr>
          </w:p>
        </w:tc>
        <w:tc>
          <w:tcPr>
            <w:tcW w:w="1652" w:type="dxa"/>
            <w:shd w:val="clear" w:color="auto" w:fill="auto"/>
          </w:tcPr>
          <w:p w:rsidR="001A7801" w:rsidRPr="009550D6" w:rsidRDefault="001A7801" w:rsidP="001A7801">
            <w:pPr>
              <w:numPr>
                <w:ilvl w:val="0"/>
                <w:numId w:val="10"/>
              </w:numPr>
              <w:mirrorIndents/>
              <w:jc w:val="both"/>
              <w:rPr>
                <w:rFonts w:eastAsia="Times New Roman"/>
                <w:sz w:val="22"/>
                <w:szCs w:val="22"/>
                <w:lang w:eastAsia="uk-UA"/>
              </w:rPr>
            </w:pPr>
          </w:p>
        </w:tc>
      </w:tr>
      <w:tr w:rsidR="001A7801" w:rsidRPr="00FB0545" w:rsidTr="007E7EBF">
        <w:tc>
          <w:tcPr>
            <w:tcW w:w="823" w:type="dxa"/>
            <w:shd w:val="clear" w:color="auto" w:fill="auto"/>
          </w:tcPr>
          <w:p w:rsidR="001A7801" w:rsidRPr="00FB0545" w:rsidRDefault="00E542B6" w:rsidP="007E7EBF">
            <w:pPr>
              <w:mirrorIndents/>
              <w:jc w:val="center"/>
              <w:outlineLvl w:val="2"/>
              <w:rPr>
                <w:rFonts w:eastAsia="Times New Roman"/>
                <w:bCs/>
                <w:sz w:val="20"/>
                <w:lang w:eastAsia="uk-UA"/>
              </w:rPr>
            </w:pPr>
            <w:r w:rsidRPr="00FB0545">
              <w:rPr>
                <w:rFonts w:eastAsia="Times New Roman"/>
                <w:bCs/>
                <w:sz w:val="20"/>
                <w:lang w:eastAsia="uk-UA"/>
              </w:rPr>
              <w:t>6</w:t>
            </w:r>
          </w:p>
        </w:tc>
        <w:tc>
          <w:tcPr>
            <w:tcW w:w="2165" w:type="dxa"/>
            <w:shd w:val="clear" w:color="auto" w:fill="auto"/>
          </w:tcPr>
          <w:p w:rsidR="001A7801" w:rsidRPr="009550D6" w:rsidRDefault="001A7801" w:rsidP="007E7EBF">
            <w:pPr>
              <w:mirrorIndents/>
              <w:outlineLvl w:val="2"/>
              <w:rPr>
                <w:rFonts w:eastAsia="Times New Roman"/>
                <w:bCs/>
                <w:sz w:val="22"/>
                <w:szCs w:val="22"/>
                <w:lang w:eastAsia="uk-UA"/>
              </w:rPr>
            </w:pPr>
            <w:r w:rsidRPr="009550D6">
              <w:rPr>
                <w:rFonts w:eastAsia="Times New Roman"/>
                <w:bCs/>
                <w:sz w:val="22"/>
                <w:szCs w:val="22"/>
                <w:lang w:eastAsia="uk-UA"/>
              </w:rPr>
              <w:t>Резерв під сумнівну дебіторську заборгованість</w:t>
            </w:r>
          </w:p>
        </w:tc>
        <w:tc>
          <w:tcPr>
            <w:tcW w:w="1980" w:type="dxa"/>
            <w:shd w:val="clear" w:color="auto" w:fill="auto"/>
          </w:tcPr>
          <w:p w:rsidR="001A7801" w:rsidRPr="009550D6" w:rsidRDefault="001A7801" w:rsidP="007E7EBF">
            <w:pPr>
              <w:mirrorIndents/>
              <w:jc w:val="center"/>
              <w:outlineLvl w:val="2"/>
              <w:rPr>
                <w:rFonts w:eastAsia="Times New Roman"/>
                <w:bCs/>
                <w:sz w:val="22"/>
                <w:szCs w:val="22"/>
                <w:lang w:eastAsia="uk-UA"/>
              </w:rPr>
            </w:pPr>
            <w:r w:rsidRPr="009550D6">
              <w:rPr>
                <w:rFonts w:eastAsia="Times New Roman"/>
                <w:bCs/>
                <w:sz w:val="22"/>
                <w:szCs w:val="22"/>
                <w:lang w:eastAsia="uk-UA"/>
              </w:rPr>
              <w:t>Х</w:t>
            </w:r>
          </w:p>
        </w:tc>
        <w:tc>
          <w:tcPr>
            <w:tcW w:w="1620" w:type="dxa"/>
            <w:shd w:val="clear" w:color="auto" w:fill="auto"/>
          </w:tcPr>
          <w:p w:rsidR="001A7801" w:rsidRPr="009550D6" w:rsidRDefault="001A7801" w:rsidP="007E7EBF">
            <w:pPr>
              <w:mirrorIndents/>
              <w:jc w:val="both"/>
              <w:rPr>
                <w:rFonts w:eastAsia="Times New Roman"/>
                <w:sz w:val="22"/>
                <w:szCs w:val="22"/>
                <w:lang w:eastAsia="uk-UA"/>
              </w:rPr>
            </w:pPr>
          </w:p>
        </w:tc>
        <w:tc>
          <w:tcPr>
            <w:tcW w:w="1742" w:type="dxa"/>
            <w:shd w:val="clear" w:color="auto" w:fill="auto"/>
          </w:tcPr>
          <w:p w:rsidR="001A7801" w:rsidRPr="009550D6" w:rsidRDefault="00E542B6" w:rsidP="007E7EBF">
            <w:pPr>
              <w:mirrorIndents/>
              <w:jc w:val="both"/>
              <w:rPr>
                <w:rFonts w:eastAsia="Times New Roman"/>
                <w:sz w:val="22"/>
                <w:szCs w:val="22"/>
                <w:lang w:eastAsia="uk-UA"/>
              </w:rPr>
            </w:pPr>
            <w:r w:rsidRPr="009550D6">
              <w:rPr>
                <w:rFonts w:eastAsia="Times New Roman"/>
                <w:sz w:val="22"/>
                <w:szCs w:val="22"/>
                <w:lang w:eastAsia="uk-UA"/>
              </w:rPr>
              <w:t>-</w:t>
            </w:r>
          </w:p>
        </w:tc>
        <w:tc>
          <w:tcPr>
            <w:tcW w:w="1652" w:type="dxa"/>
            <w:shd w:val="clear" w:color="auto" w:fill="auto"/>
          </w:tcPr>
          <w:p w:rsidR="001A7801" w:rsidRPr="009550D6" w:rsidRDefault="001A7801" w:rsidP="001A7801">
            <w:pPr>
              <w:numPr>
                <w:ilvl w:val="0"/>
                <w:numId w:val="10"/>
              </w:numPr>
              <w:mirrorIndents/>
              <w:jc w:val="center"/>
              <w:rPr>
                <w:rFonts w:eastAsia="Times New Roman"/>
                <w:sz w:val="22"/>
                <w:szCs w:val="22"/>
                <w:lang w:eastAsia="uk-UA"/>
              </w:rPr>
            </w:pPr>
          </w:p>
        </w:tc>
      </w:tr>
      <w:tr w:rsidR="001A7801" w:rsidRPr="00FB0545" w:rsidTr="007E7EBF">
        <w:tc>
          <w:tcPr>
            <w:tcW w:w="823" w:type="dxa"/>
            <w:shd w:val="clear" w:color="auto" w:fill="auto"/>
          </w:tcPr>
          <w:p w:rsidR="001A7801" w:rsidRPr="00FB0545" w:rsidRDefault="001A7801" w:rsidP="007E7EBF">
            <w:pPr>
              <w:mirrorIndents/>
              <w:jc w:val="center"/>
              <w:outlineLvl w:val="2"/>
              <w:rPr>
                <w:rFonts w:eastAsia="Times New Roman"/>
                <w:bCs/>
                <w:sz w:val="20"/>
                <w:lang w:eastAsia="uk-UA"/>
              </w:rPr>
            </w:pPr>
            <w:r w:rsidRPr="00FB0545">
              <w:rPr>
                <w:rFonts w:eastAsia="Times New Roman"/>
                <w:bCs/>
                <w:sz w:val="20"/>
                <w:lang w:eastAsia="uk-UA"/>
              </w:rPr>
              <w:t>7</w:t>
            </w:r>
          </w:p>
        </w:tc>
        <w:tc>
          <w:tcPr>
            <w:tcW w:w="2165" w:type="dxa"/>
            <w:shd w:val="clear" w:color="auto" w:fill="auto"/>
          </w:tcPr>
          <w:p w:rsidR="001A7801" w:rsidRPr="009550D6" w:rsidRDefault="001A7801" w:rsidP="007E7EBF">
            <w:pPr>
              <w:mirrorIndents/>
              <w:outlineLvl w:val="2"/>
              <w:rPr>
                <w:rFonts w:eastAsia="Times New Roman"/>
                <w:bCs/>
                <w:sz w:val="22"/>
                <w:szCs w:val="22"/>
                <w:lang w:eastAsia="uk-UA"/>
              </w:rPr>
            </w:pPr>
            <w:r w:rsidRPr="009550D6">
              <w:rPr>
                <w:rFonts w:eastAsia="Times New Roman"/>
                <w:bCs/>
                <w:sz w:val="22"/>
                <w:szCs w:val="22"/>
                <w:lang w:eastAsia="uk-UA"/>
              </w:rPr>
              <w:t>Разом</w:t>
            </w:r>
          </w:p>
        </w:tc>
        <w:tc>
          <w:tcPr>
            <w:tcW w:w="1980" w:type="dxa"/>
            <w:shd w:val="clear" w:color="auto" w:fill="auto"/>
          </w:tcPr>
          <w:p w:rsidR="001A7801" w:rsidRPr="009550D6" w:rsidRDefault="001A7801" w:rsidP="007E7EBF">
            <w:pPr>
              <w:mirrorIndents/>
              <w:jc w:val="center"/>
              <w:outlineLvl w:val="2"/>
              <w:rPr>
                <w:rFonts w:eastAsia="Times New Roman"/>
                <w:bCs/>
                <w:sz w:val="22"/>
                <w:szCs w:val="22"/>
                <w:lang w:eastAsia="uk-UA"/>
              </w:rPr>
            </w:pPr>
            <w:r w:rsidRPr="009550D6">
              <w:rPr>
                <w:rFonts w:eastAsia="Times New Roman"/>
                <w:bCs/>
                <w:sz w:val="22"/>
                <w:szCs w:val="22"/>
                <w:lang w:eastAsia="uk-UA"/>
              </w:rPr>
              <w:t>Х</w:t>
            </w:r>
          </w:p>
        </w:tc>
        <w:tc>
          <w:tcPr>
            <w:tcW w:w="1620" w:type="dxa"/>
            <w:shd w:val="clear" w:color="auto" w:fill="auto"/>
          </w:tcPr>
          <w:p w:rsidR="001A7801" w:rsidRPr="009550D6" w:rsidRDefault="001A7801" w:rsidP="007E7EBF">
            <w:pPr>
              <w:mirrorIndents/>
              <w:jc w:val="center"/>
              <w:rPr>
                <w:rFonts w:eastAsia="Times New Roman"/>
                <w:sz w:val="22"/>
                <w:szCs w:val="22"/>
                <w:lang w:eastAsia="uk-UA"/>
              </w:rPr>
            </w:pPr>
            <w:r w:rsidRPr="009550D6">
              <w:rPr>
                <w:rFonts w:eastAsia="Times New Roman"/>
                <w:sz w:val="22"/>
                <w:szCs w:val="22"/>
                <w:lang w:eastAsia="uk-UA"/>
              </w:rPr>
              <w:t>Х</w:t>
            </w:r>
          </w:p>
        </w:tc>
        <w:tc>
          <w:tcPr>
            <w:tcW w:w="1742" w:type="dxa"/>
            <w:shd w:val="clear" w:color="auto" w:fill="auto"/>
          </w:tcPr>
          <w:p w:rsidR="001A7801" w:rsidRPr="009550D6" w:rsidRDefault="00FB0545" w:rsidP="00010846">
            <w:pPr>
              <w:mirrorIndents/>
              <w:jc w:val="both"/>
              <w:rPr>
                <w:rFonts w:eastAsia="Times New Roman"/>
                <w:sz w:val="22"/>
                <w:szCs w:val="22"/>
                <w:lang w:eastAsia="uk-UA"/>
              </w:rPr>
            </w:pPr>
            <w:r w:rsidRPr="009550D6">
              <w:rPr>
                <w:rFonts w:eastAsia="Times New Roman"/>
                <w:sz w:val="22"/>
                <w:szCs w:val="22"/>
                <w:lang w:eastAsia="uk-UA"/>
              </w:rPr>
              <w:t>1</w:t>
            </w:r>
            <w:r w:rsidR="00010846" w:rsidRPr="009550D6">
              <w:rPr>
                <w:rFonts w:eastAsia="Times New Roman"/>
                <w:sz w:val="22"/>
                <w:szCs w:val="22"/>
                <w:lang w:eastAsia="uk-UA"/>
              </w:rPr>
              <w:t>467</w:t>
            </w:r>
          </w:p>
        </w:tc>
        <w:tc>
          <w:tcPr>
            <w:tcW w:w="1652" w:type="dxa"/>
            <w:shd w:val="clear" w:color="auto" w:fill="auto"/>
          </w:tcPr>
          <w:p w:rsidR="001A7801" w:rsidRPr="009550D6" w:rsidRDefault="00194363" w:rsidP="00010846">
            <w:pPr>
              <w:mirrorIndents/>
              <w:jc w:val="both"/>
              <w:rPr>
                <w:rFonts w:eastAsia="Times New Roman"/>
                <w:sz w:val="22"/>
                <w:szCs w:val="22"/>
                <w:lang w:eastAsia="uk-UA"/>
              </w:rPr>
            </w:pPr>
            <w:r w:rsidRPr="009550D6">
              <w:rPr>
                <w:rFonts w:eastAsia="Times New Roman"/>
                <w:sz w:val="22"/>
                <w:szCs w:val="22"/>
                <w:lang w:eastAsia="uk-UA"/>
              </w:rPr>
              <w:t>1</w:t>
            </w:r>
            <w:r w:rsidR="00010846" w:rsidRPr="009550D6">
              <w:rPr>
                <w:rFonts w:eastAsia="Times New Roman"/>
                <w:sz w:val="22"/>
                <w:szCs w:val="22"/>
                <w:lang w:eastAsia="uk-UA"/>
              </w:rPr>
              <w:t>625</w:t>
            </w:r>
          </w:p>
        </w:tc>
      </w:tr>
    </w:tbl>
    <w:p w:rsidR="00194363" w:rsidRPr="00FB0545" w:rsidRDefault="001A7801" w:rsidP="00F37A5F">
      <w:pPr>
        <w:ind w:firstLine="567"/>
        <w:jc w:val="both"/>
        <w:rPr>
          <w:szCs w:val="24"/>
        </w:rPr>
      </w:pPr>
      <w:r w:rsidRPr="00FB0545">
        <w:rPr>
          <w:bCs/>
          <w:szCs w:val="24"/>
        </w:rPr>
        <w:t>Дебіторська заборгованість станом на 31 грудня 201</w:t>
      </w:r>
      <w:r w:rsidR="00010846">
        <w:rPr>
          <w:bCs/>
          <w:szCs w:val="24"/>
        </w:rPr>
        <w:t>9</w:t>
      </w:r>
      <w:r w:rsidRPr="00FB0545">
        <w:rPr>
          <w:bCs/>
          <w:szCs w:val="24"/>
        </w:rPr>
        <w:t xml:space="preserve"> року </w:t>
      </w:r>
      <w:r w:rsidRPr="00FB0545">
        <w:rPr>
          <w:szCs w:val="24"/>
        </w:rPr>
        <w:t xml:space="preserve">щодо наданих кредитів </w:t>
      </w:r>
      <w:r w:rsidR="00FB0545" w:rsidRPr="00FB0545">
        <w:rPr>
          <w:szCs w:val="24"/>
        </w:rPr>
        <w:t>14</w:t>
      </w:r>
      <w:r w:rsidR="00010846">
        <w:rPr>
          <w:szCs w:val="24"/>
        </w:rPr>
        <w:t>6</w:t>
      </w:r>
      <w:r w:rsidR="00FB0545" w:rsidRPr="00FB0545">
        <w:rPr>
          <w:szCs w:val="24"/>
        </w:rPr>
        <w:t>7</w:t>
      </w:r>
      <w:r w:rsidR="00A41D39">
        <w:rPr>
          <w:szCs w:val="24"/>
          <w:lang w:val="ru-RU"/>
        </w:rPr>
        <w:t xml:space="preserve"> </w:t>
      </w:r>
      <w:r w:rsidRPr="00FB0545">
        <w:rPr>
          <w:szCs w:val="24"/>
        </w:rPr>
        <w:t xml:space="preserve">тис грн.  Потреба в нарахування резерву сумнівних боргів не виникала. </w:t>
      </w:r>
    </w:p>
    <w:p w:rsidR="001A7801" w:rsidRPr="004035A4" w:rsidRDefault="001A7801" w:rsidP="00F37A5F">
      <w:pPr>
        <w:ind w:firstLine="567"/>
        <w:jc w:val="both"/>
        <w:rPr>
          <w:szCs w:val="24"/>
        </w:rPr>
      </w:pPr>
      <w:r w:rsidRPr="00FB0545">
        <w:rPr>
          <w:szCs w:val="24"/>
        </w:rPr>
        <w:t>Дебіторська заборгованість, по якій минув термін позивної давності на кінець</w:t>
      </w:r>
      <w:r w:rsidRPr="004035A4">
        <w:rPr>
          <w:szCs w:val="24"/>
        </w:rPr>
        <w:t xml:space="preserve"> відсутня.</w:t>
      </w:r>
    </w:p>
    <w:p w:rsidR="001A7801" w:rsidRPr="00E1656C" w:rsidRDefault="001A7801" w:rsidP="00F37A5F">
      <w:pPr>
        <w:ind w:firstLine="567"/>
        <w:jc w:val="both"/>
        <w:rPr>
          <w:rFonts w:eastAsia="Times New Roman"/>
          <w:szCs w:val="24"/>
          <w:lang w:eastAsia="uk-UA"/>
        </w:rPr>
      </w:pPr>
    </w:p>
    <w:p w:rsidR="001A7801" w:rsidRPr="00E1656C" w:rsidRDefault="001A7801" w:rsidP="00F37A5F">
      <w:pPr>
        <w:ind w:firstLine="567"/>
        <w:jc w:val="both"/>
        <w:rPr>
          <w:rFonts w:eastAsia="Times New Roman"/>
          <w:szCs w:val="24"/>
          <w:lang w:eastAsia="uk-UA"/>
        </w:rPr>
      </w:pPr>
      <w:r w:rsidRPr="00E1656C">
        <w:rPr>
          <w:rFonts w:eastAsia="Times New Roman"/>
          <w:szCs w:val="24"/>
          <w:lang w:eastAsia="uk-UA"/>
        </w:rPr>
        <w:t xml:space="preserve">Перекласифікація фінансових активів не проводилась. </w:t>
      </w:r>
    </w:p>
    <w:p w:rsidR="001A7801" w:rsidRPr="00E1656C" w:rsidRDefault="001A7801" w:rsidP="00F37A5F">
      <w:pPr>
        <w:ind w:firstLine="567"/>
        <w:jc w:val="both"/>
        <w:rPr>
          <w:szCs w:val="24"/>
        </w:rPr>
      </w:pPr>
      <w:r w:rsidRPr="00E1656C">
        <w:rPr>
          <w:szCs w:val="24"/>
        </w:rPr>
        <w:t>Дебіторська заборгованість у балансі товариства станом на початок та кінець звітного періоду відображена за такими позиціями згідно правил МСФЗ.</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693"/>
        <w:gridCol w:w="2552"/>
      </w:tblGrid>
      <w:tr w:rsidR="001A7801" w:rsidRPr="00E1656C" w:rsidTr="00AA145D">
        <w:trPr>
          <w:trHeight w:val="562"/>
        </w:trPr>
        <w:tc>
          <w:tcPr>
            <w:tcW w:w="4786" w:type="dxa"/>
            <w:shd w:val="clear" w:color="auto" w:fill="auto"/>
            <w:vAlign w:val="center"/>
          </w:tcPr>
          <w:p w:rsidR="001A7801" w:rsidRPr="00194363" w:rsidRDefault="001A7801" w:rsidP="007E7EBF">
            <w:pPr>
              <w:jc w:val="center"/>
              <w:rPr>
                <w:b/>
                <w:sz w:val="20"/>
              </w:rPr>
            </w:pPr>
            <w:r w:rsidRPr="00194363">
              <w:rPr>
                <w:b/>
                <w:sz w:val="20"/>
              </w:rPr>
              <w:t>Найменування показника</w:t>
            </w:r>
          </w:p>
        </w:tc>
        <w:tc>
          <w:tcPr>
            <w:tcW w:w="2693" w:type="dxa"/>
            <w:shd w:val="clear" w:color="auto" w:fill="auto"/>
            <w:vAlign w:val="center"/>
          </w:tcPr>
          <w:p w:rsidR="001A7801" w:rsidRPr="00194363" w:rsidRDefault="001A7801" w:rsidP="00010846">
            <w:pPr>
              <w:jc w:val="center"/>
              <w:rPr>
                <w:b/>
                <w:sz w:val="20"/>
              </w:rPr>
            </w:pPr>
            <w:r w:rsidRPr="00194363">
              <w:rPr>
                <w:b/>
                <w:sz w:val="20"/>
              </w:rPr>
              <w:t>На 31.12.201</w:t>
            </w:r>
            <w:r w:rsidR="00010846">
              <w:rPr>
                <w:b/>
                <w:sz w:val="20"/>
              </w:rPr>
              <w:t>8</w:t>
            </w:r>
            <w:r w:rsidRPr="00194363">
              <w:rPr>
                <w:b/>
                <w:sz w:val="20"/>
              </w:rPr>
              <w:t xml:space="preserve"> р.</w:t>
            </w:r>
          </w:p>
        </w:tc>
        <w:tc>
          <w:tcPr>
            <w:tcW w:w="2552" w:type="dxa"/>
            <w:shd w:val="clear" w:color="auto" w:fill="auto"/>
            <w:vAlign w:val="center"/>
          </w:tcPr>
          <w:p w:rsidR="001A7801" w:rsidRPr="00194363" w:rsidRDefault="001A7801" w:rsidP="00010846">
            <w:pPr>
              <w:jc w:val="center"/>
              <w:rPr>
                <w:b/>
                <w:sz w:val="20"/>
              </w:rPr>
            </w:pPr>
            <w:r w:rsidRPr="00194363">
              <w:rPr>
                <w:b/>
                <w:sz w:val="20"/>
              </w:rPr>
              <w:t xml:space="preserve">На </w:t>
            </w:r>
            <w:r w:rsidRPr="00194363">
              <w:rPr>
                <w:rFonts w:eastAsia="Times New Roman"/>
                <w:sz w:val="20"/>
                <w:lang w:eastAsia="uk-UA"/>
              </w:rPr>
              <w:t>31.12</w:t>
            </w:r>
            <w:r w:rsidRPr="00194363">
              <w:rPr>
                <w:b/>
                <w:sz w:val="20"/>
              </w:rPr>
              <w:t>.201</w:t>
            </w:r>
            <w:r w:rsidR="00010846">
              <w:rPr>
                <w:b/>
                <w:sz w:val="20"/>
              </w:rPr>
              <w:t>9</w:t>
            </w:r>
            <w:r w:rsidRPr="00194363">
              <w:rPr>
                <w:b/>
                <w:sz w:val="20"/>
              </w:rPr>
              <w:t xml:space="preserve"> р.</w:t>
            </w:r>
          </w:p>
        </w:tc>
      </w:tr>
      <w:tr w:rsidR="001A7801" w:rsidRPr="00E1656C" w:rsidTr="00AA145D">
        <w:tc>
          <w:tcPr>
            <w:tcW w:w="4786" w:type="dxa"/>
            <w:shd w:val="clear" w:color="auto" w:fill="auto"/>
          </w:tcPr>
          <w:p w:rsidR="001A7801" w:rsidRPr="009550D6" w:rsidRDefault="001A7801" w:rsidP="007E7EBF">
            <w:pPr>
              <w:rPr>
                <w:sz w:val="22"/>
                <w:szCs w:val="22"/>
              </w:rPr>
            </w:pPr>
            <w:r w:rsidRPr="009550D6">
              <w:rPr>
                <w:sz w:val="22"/>
                <w:szCs w:val="22"/>
              </w:rPr>
              <w:t xml:space="preserve">Дебіторська заборгованість за розрахунками </w:t>
            </w:r>
            <w:r w:rsidR="00194363" w:rsidRPr="009550D6">
              <w:rPr>
                <w:sz w:val="22"/>
                <w:szCs w:val="22"/>
              </w:rPr>
              <w:t>щодо наданих кредитів</w:t>
            </w:r>
          </w:p>
        </w:tc>
        <w:tc>
          <w:tcPr>
            <w:tcW w:w="2693" w:type="dxa"/>
            <w:shd w:val="clear" w:color="auto" w:fill="auto"/>
            <w:vAlign w:val="center"/>
          </w:tcPr>
          <w:p w:rsidR="001A7801" w:rsidRPr="009550D6" w:rsidRDefault="00194363" w:rsidP="00010846">
            <w:pPr>
              <w:jc w:val="center"/>
              <w:rPr>
                <w:sz w:val="22"/>
                <w:szCs w:val="22"/>
              </w:rPr>
            </w:pPr>
            <w:r w:rsidRPr="009550D6">
              <w:rPr>
                <w:sz w:val="22"/>
                <w:szCs w:val="22"/>
              </w:rPr>
              <w:t>1</w:t>
            </w:r>
            <w:r w:rsidR="00010846" w:rsidRPr="009550D6">
              <w:rPr>
                <w:sz w:val="22"/>
                <w:szCs w:val="22"/>
              </w:rPr>
              <w:t>547</w:t>
            </w:r>
          </w:p>
        </w:tc>
        <w:tc>
          <w:tcPr>
            <w:tcW w:w="2552" w:type="dxa"/>
            <w:shd w:val="clear" w:color="auto" w:fill="auto"/>
            <w:vAlign w:val="center"/>
          </w:tcPr>
          <w:p w:rsidR="001A7801" w:rsidRPr="009550D6" w:rsidRDefault="00010846" w:rsidP="007E7EBF">
            <w:pPr>
              <w:jc w:val="center"/>
              <w:rPr>
                <w:sz w:val="22"/>
                <w:szCs w:val="22"/>
              </w:rPr>
            </w:pPr>
            <w:r w:rsidRPr="009550D6">
              <w:rPr>
                <w:sz w:val="22"/>
                <w:szCs w:val="22"/>
              </w:rPr>
              <w:t>1</w:t>
            </w:r>
            <w:r w:rsidR="00FB0545" w:rsidRPr="009550D6">
              <w:rPr>
                <w:sz w:val="22"/>
                <w:szCs w:val="22"/>
              </w:rPr>
              <w:t>4</w:t>
            </w:r>
            <w:r w:rsidRPr="009550D6">
              <w:rPr>
                <w:sz w:val="22"/>
                <w:szCs w:val="22"/>
              </w:rPr>
              <w:t>6</w:t>
            </w:r>
            <w:r w:rsidR="00FB0545" w:rsidRPr="009550D6">
              <w:rPr>
                <w:sz w:val="22"/>
                <w:szCs w:val="22"/>
              </w:rPr>
              <w:t>7</w:t>
            </w:r>
          </w:p>
        </w:tc>
      </w:tr>
      <w:tr w:rsidR="001A7801" w:rsidRPr="00E1656C" w:rsidTr="00AA145D">
        <w:tc>
          <w:tcPr>
            <w:tcW w:w="4786" w:type="dxa"/>
            <w:shd w:val="clear" w:color="auto" w:fill="auto"/>
          </w:tcPr>
          <w:p w:rsidR="001A7801" w:rsidRPr="009550D6" w:rsidRDefault="001A7801" w:rsidP="007E7EBF">
            <w:pPr>
              <w:rPr>
                <w:sz w:val="22"/>
                <w:szCs w:val="22"/>
              </w:rPr>
            </w:pPr>
            <w:r w:rsidRPr="009550D6">
              <w:rPr>
                <w:sz w:val="22"/>
                <w:szCs w:val="22"/>
              </w:rPr>
              <w:t>Дебіторська заборгованість за розрахунками з бюджетом</w:t>
            </w:r>
          </w:p>
        </w:tc>
        <w:tc>
          <w:tcPr>
            <w:tcW w:w="2693" w:type="dxa"/>
            <w:shd w:val="clear" w:color="auto" w:fill="auto"/>
            <w:vAlign w:val="center"/>
          </w:tcPr>
          <w:p w:rsidR="001A7801" w:rsidRPr="009550D6" w:rsidRDefault="001A7801" w:rsidP="007E7EBF">
            <w:pPr>
              <w:jc w:val="center"/>
              <w:rPr>
                <w:sz w:val="22"/>
                <w:szCs w:val="22"/>
              </w:rPr>
            </w:pPr>
            <w:r w:rsidRPr="009550D6">
              <w:rPr>
                <w:sz w:val="22"/>
                <w:szCs w:val="22"/>
              </w:rPr>
              <w:t>-</w:t>
            </w:r>
          </w:p>
        </w:tc>
        <w:tc>
          <w:tcPr>
            <w:tcW w:w="2552" w:type="dxa"/>
            <w:shd w:val="clear" w:color="auto" w:fill="auto"/>
            <w:vAlign w:val="center"/>
          </w:tcPr>
          <w:p w:rsidR="001A7801" w:rsidRPr="009550D6" w:rsidRDefault="00010846" w:rsidP="007E7EBF">
            <w:pPr>
              <w:jc w:val="center"/>
              <w:rPr>
                <w:sz w:val="22"/>
                <w:szCs w:val="22"/>
              </w:rPr>
            </w:pPr>
            <w:r w:rsidRPr="009550D6">
              <w:rPr>
                <w:sz w:val="22"/>
                <w:szCs w:val="22"/>
              </w:rPr>
              <w:t>2</w:t>
            </w:r>
          </w:p>
        </w:tc>
      </w:tr>
      <w:tr w:rsidR="001A7801" w:rsidRPr="00E1656C" w:rsidTr="00AA145D">
        <w:tc>
          <w:tcPr>
            <w:tcW w:w="4786" w:type="dxa"/>
            <w:shd w:val="clear" w:color="auto" w:fill="auto"/>
          </w:tcPr>
          <w:p w:rsidR="001A7801" w:rsidRPr="009550D6" w:rsidRDefault="001A7801" w:rsidP="007E7EBF">
            <w:pPr>
              <w:rPr>
                <w:sz w:val="22"/>
                <w:szCs w:val="22"/>
              </w:rPr>
            </w:pPr>
            <w:r w:rsidRPr="009550D6">
              <w:rPr>
                <w:sz w:val="22"/>
                <w:szCs w:val="22"/>
              </w:rPr>
              <w:t xml:space="preserve">Інша поточна дебіторська заборгованість </w:t>
            </w:r>
          </w:p>
        </w:tc>
        <w:tc>
          <w:tcPr>
            <w:tcW w:w="2693" w:type="dxa"/>
            <w:shd w:val="clear" w:color="auto" w:fill="auto"/>
          </w:tcPr>
          <w:p w:rsidR="001A7801" w:rsidRPr="009550D6" w:rsidRDefault="00010846" w:rsidP="007E7EBF">
            <w:pPr>
              <w:jc w:val="center"/>
              <w:rPr>
                <w:sz w:val="22"/>
                <w:szCs w:val="22"/>
              </w:rPr>
            </w:pPr>
            <w:r w:rsidRPr="009550D6">
              <w:rPr>
                <w:sz w:val="22"/>
                <w:szCs w:val="22"/>
              </w:rPr>
              <w:t>7</w:t>
            </w:r>
            <w:r w:rsidR="00194363" w:rsidRPr="009550D6">
              <w:rPr>
                <w:sz w:val="22"/>
                <w:szCs w:val="22"/>
              </w:rPr>
              <w:t>8</w:t>
            </w:r>
          </w:p>
          <w:p w:rsidR="001A7801" w:rsidRPr="009550D6" w:rsidRDefault="001A7801" w:rsidP="007E7EBF">
            <w:pPr>
              <w:jc w:val="center"/>
              <w:rPr>
                <w:sz w:val="22"/>
                <w:szCs w:val="22"/>
              </w:rPr>
            </w:pPr>
          </w:p>
        </w:tc>
        <w:tc>
          <w:tcPr>
            <w:tcW w:w="2552" w:type="dxa"/>
            <w:shd w:val="clear" w:color="auto" w:fill="auto"/>
          </w:tcPr>
          <w:p w:rsidR="001A7801" w:rsidRPr="009550D6" w:rsidRDefault="00010846" w:rsidP="007E7EBF">
            <w:pPr>
              <w:jc w:val="center"/>
              <w:rPr>
                <w:sz w:val="22"/>
                <w:szCs w:val="22"/>
              </w:rPr>
            </w:pPr>
            <w:r w:rsidRPr="009550D6">
              <w:rPr>
                <w:sz w:val="22"/>
                <w:szCs w:val="22"/>
              </w:rPr>
              <w:t>-</w:t>
            </w:r>
          </w:p>
        </w:tc>
      </w:tr>
      <w:tr w:rsidR="001A7801" w:rsidRPr="00E1656C" w:rsidTr="00AA145D">
        <w:tc>
          <w:tcPr>
            <w:tcW w:w="4786" w:type="dxa"/>
            <w:shd w:val="clear" w:color="auto" w:fill="auto"/>
          </w:tcPr>
          <w:p w:rsidR="001A7801" w:rsidRPr="009550D6" w:rsidRDefault="001A7801" w:rsidP="007E7EBF">
            <w:pPr>
              <w:rPr>
                <w:sz w:val="22"/>
                <w:szCs w:val="22"/>
              </w:rPr>
            </w:pPr>
            <w:r w:rsidRPr="009550D6">
              <w:rPr>
                <w:sz w:val="22"/>
                <w:szCs w:val="22"/>
              </w:rPr>
              <w:t xml:space="preserve">Довгострокова  дебіторська заборгованість </w:t>
            </w:r>
          </w:p>
        </w:tc>
        <w:tc>
          <w:tcPr>
            <w:tcW w:w="2693" w:type="dxa"/>
            <w:shd w:val="clear" w:color="auto" w:fill="auto"/>
          </w:tcPr>
          <w:p w:rsidR="001A7801" w:rsidRPr="009550D6" w:rsidRDefault="001A7801" w:rsidP="001A7801">
            <w:pPr>
              <w:numPr>
                <w:ilvl w:val="0"/>
                <w:numId w:val="10"/>
              </w:numPr>
              <w:jc w:val="center"/>
              <w:rPr>
                <w:sz w:val="22"/>
                <w:szCs w:val="22"/>
              </w:rPr>
            </w:pPr>
          </w:p>
          <w:p w:rsidR="001A7801" w:rsidRPr="009550D6" w:rsidRDefault="001A7801" w:rsidP="007E7EBF">
            <w:pPr>
              <w:jc w:val="center"/>
              <w:rPr>
                <w:sz w:val="22"/>
                <w:szCs w:val="22"/>
              </w:rPr>
            </w:pPr>
          </w:p>
        </w:tc>
        <w:tc>
          <w:tcPr>
            <w:tcW w:w="2552" w:type="dxa"/>
            <w:shd w:val="clear" w:color="auto" w:fill="auto"/>
          </w:tcPr>
          <w:p w:rsidR="001A7801" w:rsidRPr="009550D6" w:rsidRDefault="00194363" w:rsidP="007E7EBF">
            <w:pPr>
              <w:jc w:val="center"/>
              <w:rPr>
                <w:sz w:val="22"/>
                <w:szCs w:val="22"/>
              </w:rPr>
            </w:pPr>
            <w:r w:rsidRPr="009550D6">
              <w:rPr>
                <w:sz w:val="22"/>
                <w:szCs w:val="22"/>
              </w:rPr>
              <w:t>_</w:t>
            </w:r>
          </w:p>
          <w:p w:rsidR="001A7801" w:rsidRPr="009550D6" w:rsidRDefault="001A7801" w:rsidP="007E7EBF">
            <w:pPr>
              <w:jc w:val="center"/>
              <w:rPr>
                <w:sz w:val="22"/>
                <w:szCs w:val="22"/>
              </w:rPr>
            </w:pPr>
          </w:p>
        </w:tc>
      </w:tr>
    </w:tbl>
    <w:p w:rsidR="001A7801" w:rsidRPr="00E1656C" w:rsidRDefault="001A7801" w:rsidP="001A7801">
      <w:pPr>
        <w:jc w:val="both"/>
        <w:rPr>
          <w:rFonts w:eastAsia="Times New Roman"/>
          <w:szCs w:val="24"/>
          <w:lang w:eastAsia="uk-UA"/>
        </w:rPr>
      </w:pPr>
    </w:p>
    <w:p w:rsidR="001A7801" w:rsidRPr="0021107F" w:rsidRDefault="001A7801" w:rsidP="002A0906">
      <w:pPr>
        <w:numPr>
          <w:ilvl w:val="2"/>
          <w:numId w:val="18"/>
        </w:numPr>
        <w:jc w:val="both"/>
        <w:rPr>
          <w:rFonts w:eastAsia="Times New Roman"/>
          <w:b/>
          <w:i/>
          <w:szCs w:val="24"/>
          <w:lang w:eastAsia="uk-UA"/>
        </w:rPr>
      </w:pPr>
      <w:r w:rsidRPr="0021107F">
        <w:rPr>
          <w:rFonts w:eastAsia="Times New Roman"/>
          <w:b/>
          <w:i/>
          <w:szCs w:val="24"/>
          <w:lang w:eastAsia="uk-UA"/>
        </w:rPr>
        <w:t>Фінансові зобов’язання.</w:t>
      </w:r>
    </w:p>
    <w:p w:rsidR="001A7801" w:rsidRPr="00E1656C" w:rsidRDefault="001A7801" w:rsidP="001A7801">
      <w:pPr>
        <w:pStyle w:val="12"/>
        <w:shd w:val="clear" w:color="auto" w:fill="auto"/>
        <w:spacing w:before="0" w:after="0" w:line="240" w:lineRule="auto"/>
        <w:ind w:firstLine="567"/>
        <w:jc w:val="both"/>
        <w:rPr>
          <w:sz w:val="24"/>
          <w:szCs w:val="24"/>
          <w:lang w:val="uk-UA"/>
        </w:rPr>
      </w:pPr>
      <w:r w:rsidRPr="00E1656C">
        <w:rPr>
          <w:sz w:val="24"/>
          <w:szCs w:val="24"/>
          <w:lang w:val="uk-UA"/>
        </w:rPr>
        <w:t>Зобов'язання Товариства, класифікуються на довгострокові (строк погашення понад 12 місяців) і поточні (термін погашення до 12 місяців).</w:t>
      </w:r>
    </w:p>
    <w:p w:rsidR="001A7801" w:rsidRPr="00E1656C" w:rsidRDefault="001A7801" w:rsidP="001A7801">
      <w:pPr>
        <w:pStyle w:val="12"/>
        <w:shd w:val="clear" w:color="auto" w:fill="auto"/>
        <w:spacing w:before="0" w:after="0" w:line="240" w:lineRule="auto"/>
        <w:ind w:firstLine="567"/>
        <w:jc w:val="both"/>
        <w:rPr>
          <w:sz w:val="24"/>
          <w:szCs w:val="24"/>
          <w:lang w:val="uk-UA"/>
        </w:rPr>
      </w:pPr>
      <w:r w:rsidRPr="00E1656C">
        <w:rPr>
          <w:sz w:val="24"/>
          <w:szCs w:val="24"/>
          <w:lang w:val="uk-UA"/>
        </w:rPr>
        <w:t>Оцінка довгострокової кредиторської заборгованості ґрунтується на первісній (справедливій) вартості.</w:t>
      </w:r>
    </w:p>
    <w:p w:rsidR="001A7801" w:rsidRPr="00E1656C" w:rsidRDefault="001A7801" w:rsidP="001A7801">
      <w:pPr>
        <w:pStyle w:val="12"/>
        <w:shd w:val="clear" w:color="auto" w:fill="auto"/>
        <w:spacing w:before="0" w:after="0" w:line="240" w:lineRule="auto"/>
        <w:ind w:firstLine="567"/>
        <w:jc w:val="both"/>
        <w:rPr>
          <w:sz w:val="24"/>
          <w:szCs w:val="24"/>
          <w:lang w:val="uk-UA"/>
        </w:rPr>
      </w:pPr>
      <w:r w:rsidRPr="00E1656C">
        <w:rPr>
          <w:sz w:val="24"/>
          <w:szCs w:val="24"/>
          <w:lang w:val="uk-UA"/>
        </w:rPr>
        <w:t>Поточна кредиторська заборгованість обліковується і відображається в Балансі за первісною вартістю, яка дорівнює справедливій вартості отриманих активів або послуг.</w:t>
      </w:r>
    </w:p>
    <w:p w:rsidR="001A7801" w:rsidRPr="00E1656C" w:rsidRDefault="001A7801" w:rsidP="001A7801">
      <w:pPr>
        <w:pStyle w:val="12"/>
        <w:shd w:val="clear" w:color="auto" w:fill="auto"/>
        <w:spacing w:before="0" w:after="0" w:line="240" w:lineRule="auto"/>
        <w:ind w:firstLine="567"/>
        <w:jc w:val="both"/>
        <w:rPr>
          <w:sz w:val="24"/>
          <w:szCs w:val="24"/>
          <w:lang w:val="uk-UA"/>
        </w:rPr>
      </w:pPr>
      <w:r w:rsidRPr="00E1656C">
        <w:rPr>
          <w:sz w:val="24"/>
          <w:szCs w:val="24"/>
          <w:lang w:val="uk-UA"/>
        </w:rPr>
        <w:t xml:space="preserve">Товариство здійснює переказ частини довгострокової кредиторської заборгованості до складу короткострокової, коли за умовами договору до повернення частини суми боргу залишається менше 365 днів. </w:t>
      </w:r>
      <w:r w:rsidR="003A7506">
        <w:rPr>
          <w:sz w:val="24"/>
          <w:szCs w:val="24"/>
          <w:lang w:val="uk-UA"/>
        </w:rPr>
        <w:t xml:space="preserve">В звітному періоді </w:t>
      </w:r>
      <w:r w:rsidR="003A7506" w:rsidRPr="00E1656C">
        <w:rPr>
          <w:sz w:val="24"/>
          <w:szCs w:val="24"/>
          <w:lang w:val="uk-UA"/>
        </w:rPr>
        <w:t>довгостроков</w:t>
      </w:r>
      <w:r w:rsidR="003A7506">
        <w:rPr>
          <w:sz w:val="24"/>
          <w:szCs w:val="24"/>
          <w:lang w:val="uk-UA"/>
        </w:rPr>
        <w:t>а</w:t>
      </w:r>
      <w:r w:rsidR="003A7506" w:rsidRPr="00E1656C">
        <w:rPr>
          <w:sz w:val="24"/>
          <w:szCs w:val="24"/>
          <w:lang w:val="uk-UA"/>
        </w:rPr>
        <w:t xml:space="preserve"> кредиторськ</w:t>
      </w:r>
      <w:r w:rsidR="003A7506">
        <w:rPr>
          <w:sz w:val="24"/>
          <w:szCs w:val="24"/>
          <w:lang w:val="uk-UA"/>
        </w:rPr>
        <w:t>а</w:t>
      </w:r>
      <w:r w:rsidR="003A7506" w:rsidRPr="00E1656C">
        <w:rPr>
          <w:sz w:val="24"/>
          <w:szCs w:val="24"/>
          <w:lang w:val="uk-UA"/>
        </w:rPr>
        <w:t xml:space="preserve"> заборгован</w:t>
      </w:r>
      <w:r w:rsidR="003A7506">
        <w:rPr>
          <w:sz w:val="24"/>
          <w:szCs w:val="24"/>
          <w:lang w:val="uk-UA"/>
        </w:rPr>
        <w:t>і</w:t>
      </w:r>
      <w:r w:rsidR="003A7506" w:rsidRPr="00E1656C">
        <w:rPr>
          <w:sz w:val="24"/>
          <w:szCs w:val="24"/>
          <w:lang w:val="uk-UA"/>
        </w:rPr>
        <w:t>ст</w:t>
      </w:r>
      <w:r w:rsidR="003A7506">
        <w:rPr>
          <w:sz w:val="24"/>
          <w:szCs w:val="24"/>
          <w:lang w:val="uk-UA"/>
        </w:rPr>
        <w:t>ь відсутня.</w:t>
      </w:r>
    </w:p>
    <w:p w:rsidR="001A7801" w:rsidRPr="00E1656C" w:rsidRDefault="001A7801" w:rsidP="001A7801">
      <w:pPr>
        <w:pStyle w:val="12"/>
        <w:shd w:val="clear" w:color="auto" w:fill="auto"/>
        <w:spacing w:before="0" w:after="0" w:line="240" w:lineRule="auto"/>
        <w:ind w:firstLine="567"/>
        <w:jc w:val="both"/>
        <w:rPr>
          <w:sz w:val="24"/>
          <w:szCs w:val="24"/>
          <w:lang w:val="uk-UA"/>
        </w:rPr>
      </w:pPr>
      <w:r w:rsidRPr="00E1656C">
        <w:rPr>
          <w:sz w:val="24"/>
          <w:szCs w:val="24"/>
          <w:lang w:val="uk-UA"/>
        </w:rPr>
        <w:t>Усі зобов’язання товариства можна класифікувати наступним чином:  поточні зобов’язання.</w:t>
      </w:r>
    </w:p>
    <w:p w:rsidR="001A7801" w:rsidRPr="00E1656C" w:rsidRDefault="001A7801" w:rsidP="001A7801">
      <w:pPr>
        <w:pStyle w:val="12"/>
        <w:shd w:val="clear" w:color="auto" w:fill="auto"/>
        <w:spacing w:before="0" w:after="0" w:line="240" w:lineRule="auto"/>
        <w:ind w:firstLine="567"/>
        <w:jc w:val="both"/>
        <w:rPr>
          <w:sz w:val="24"/>
          <w:szCs w:val="24"/>
          <w:lang w:val="uk-UA"/>
        </w:rPr>
      </w:pPr>
      <w:r w:rsidRPr="00E1656C">
        <w:rPr>
          <w:sz w:val="24"/>
          <w:szCs w:val="24"/>
          <w:lang w:val="uk-UA"/>
        </w:rPr>
        <w:t>Поточні зобов’язання товариства діляться на: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2622"/>
        <w:gridCol w:w="2481"/>
      </w:tblGrid>
      <w:tr w:rsidR="001A7801" w:rsidRPr="00E1656C" w:rsidTr="007E7EBF">
        <w:trPr>
          <w:trHeight w:val="562"/>
        </w:trPr>
        <w:tc>
          <w:tcPr>
            <w:tcW w:w="4928" w:type="dxa"/>
            <w:shd w:val="clear" w:color="auto" w:fill="auto"/>
            <w:vAlign w:val="center"/>
          </w:tcPr>
          <w:p w:rsidR="001A7801" w:rsidRPr="00E1656C" w:rsidRDefault="001A7801" w:rsidP="007E7EBF">
            <w:pPr>
              <w:jc w:val="center"/>
              <w:rPr>
                <w:b/>
                <w:szCs w:val="24"/>
              </w:rPr>
            </w:pPr>
            <w:r w:rsidRPr="00E1656C">
              <w:rPr>
                <w:b/>
                <w:szCs w:val="24"/>
              </w:rPr>
              <w:t>Найменування показника</w:t>
            </w:r>
          </w:p>
        </w:tc>
        <w:tc>
          <w:tcPr>
            <w:tcW w:w="2622" w:type="dxa"/>
            <w:shd w:val="clear" w:color="auto" w:fill="auto"/>
            <w:vAlign w:val="center"/>
          </w:tcPr>
          <w:p w:rsidR="001A7801" w:rsidRPr="00E1656C" w:rsidRDefault="001A7801" w:rsidP="00010846">
            <w:pPr>
              <w:jc w:val="center"/>
              <w:rPr>
                <w:b/>
                <w:szCs w:val="24"/>
              </w:rPr>
            </w:pPr>
            <w:r w:rsidRPr="00E1656C">
              <w:rPr>
                <w:b/>
                <w:szCs w:val="24"/>
              </w:rPr>
              <w:t xml:space="preserve">На </w:t>
            </w:r>
            <w:r w:rsidRPr="00E1656C">
              <w:rPr>
                <w:rFonts w:eastAsia="Times New Roman"/>
                <w:b/>
                <w:szCs w:val="24"/>
                <w:lang w:eastAsia="uk-UA"/>
              </w:rPr>
              <w:t>31.12.201</w:t>
            </w:r>
            <w:r w:rsidR="00010846">
              <w:rPr>
                <w:rFonts w:eastAsia="Times New Roman"/>
                <w:b/>
                <w:szCs w:val="24"/>
                <w:lang w:eastAsia="uk-UA"/>
              </w:rPr>
              <w:t>8</w:t>
            </w:r>
            <w:r w:rsidRPr="00E1656C">
              <w:rPr>
                <w:b/>
                <w:szCs w:val="24"/>
              </w:rPr>
              <w:t>р.</w:t>
            </w:r>
          </w:p>
        </w:tc>
        <w:tc>
          <w:tcPr>
            <w:tcW w:w="2481" w:type="dxa"/>
            <w:shd w:val="clear" w:color="auto" w:fill="auto"/>
            <w:vAlign w:val="center"/>
          </w:tcPr>
          <w:p w:rsidR="001A7801" w:rsidRPr="00E1656C" w:rsidRDefault="001A7801" w:rsidP="00010846">
            <w:pPr>
              <w:jc w:val="center"/>
              <w:rPr>
                <w:b/>
                <w:szCs w:val="24"/>
              </w:rPr>
            </w:pPr>
            <w:r w:rsidRPr="00E1656C">
              <w:rPr>
                <w:b/>
                <w:szCs w:val="24"/>
              </w:rPr>
              <w:t xml:space="preserve">На </w:t>
            </w:r>
            <w:r w:rsidRPr="00F63B8A">
              <w:rPr>
                <w:rFonts w:eastAsia="Times New Roman"/>
                <w:b/>
                <w:szCs w:val="24"/>
                <w:lang w:eastAsia="uk-UA"/>
              </w:rPr>
              <w:t>31.12</w:t>
            </w:r>
            <w:r w:rsidRPr="00E1656C">
              <w:rPr>
                <w:b/>
                <w:szCs w:val="24"/>
              </w:rPr>
              <w:t>.201</w:t>
            </w:r>
            <w:r w:rsidR="00010846">
              <w:rPr>
                <w:b/>
                <w:szCs w:val="24"/>
              </w:rPr>
              <w:t>9</w:t>
            </w:r>
            <w:r w:rsidRPr="00E1656C">
              <w:rPr>
                <w:b/>
                <w:szCs w:val="24"/>
              </w:rPr>
              <w:t xml:space="preserve"> р.</w:t>
            </w:r>
          </w:p>
        </w:tc>
      </w:tr>
      <w:tr w:rsidR="001A7801" w:rsidRPr="00E1656C" w:rsidTr="007E7EBF">
        <w:tc>
          <w:tcPr>
            <w:tcW w:w="4928" w:type="dxa"/>
            <w:shd w:val="clear" w:color="auto" w:fill="auto"/>
          </w:tcPr>
          <w:p w:rsidR="001A7801" w:rsidRPr="009550D6" w:rsidRDefault="001A7801" w:rsidP="007E7EBF">
            <w:pPr>
              <w:rPr>
                <w:sz w:val="22"/>
                <w:szCs w:val="22"/>
              </w:rPr>
            </w:pPr>
            <w:r w:rsidRPr="009550D6">
              <w:rPr>
                <w:sz w:val="22"/>
                <w:szCs w:val="22"/>
              </w:rPr>
              <w:t>Поточна кредиторська заборгованість за товари, роботи, послуги</w:t>
            </w:r>
          </w:p>
        </w:tc>
        <w:tc>
          <w:tcPr>
            <w:tcW w:w="2622" w:type="dxa"/>
            <w:shd w:val="clear" w:color="auto" w:fill="auto"/>
            <w:vAlign w:val="center"/>
          </w:tcPr>
          <w:p w:rsidR="001A7801" w:rsidRPr="009550D6" w:rsidRDefault="00194363" w:rsidP="007E7EBF">
            <w:pPr>
              <w:ind w:right="813"/>
              <w:jc w:val="right"/>
              <w:rPr>
                <w:sz w:val="22"/>
                <w:szCs w:val="22"/>
              </w:rPr>
            </w:pPr>
            <w:r w:rsidRPr="009550D6">
              <w:rPr>
                <w:sz w:val="22"/>
                <w:szCs w:val="22"/>
              </w:rPr>
              <w:t>_</w:t>
            </w:r>
          </w:p>
        </w:tc>
        <w:tc>
          <w:tcPr>
            <w:tcW w:w="2481" w:type="dxa"/>
            <w:shd w:val="clear" w:color="auto" w:fill="auto"/>
            <w:vAlign w:val="center"/>
          </w:tcPr>
          <w:p w:rsidR="001A7801" w:rsidRPr="009550D6" w:rsidRDefault="00194363" w:rsidP="007E7EBF">
            <w:pPr>
              <w:ind w:right="813"/>
              <w:jc w:val="right"/>
              <w:rPr>
                <w:sz w:val="22"/>
                <w:szCs w:val="22"/>
              </w:rPr>
            </w:pPr>
            <w:r w:rsidRPr="009550D6">
              <w:rPr>
                <w:sz w:val="22"/>
                <w:szCs w:val="22"/>
              </w:rPr>
              <w:t>__--</w:t>
            </w:r>
          </w:p>
        </w:tc>
      </w:tr>
      <w:tr w:rsidR="001A7801" w:rsidRPr="00E1656C" w:rsidTr="007E7EBF">
        <w:tc>
          <w:tcPr>
            <w:tcW w:w="4928" w:type="dxa"/>
            <w:shd w:val="clear" w:color="auto" w:fill="auto"/>
          </w:tcPr>
          <w:p w:rsidR="001A7801" w:rsidRPr="009550D6" w:rsidRDefault="001A7801" w:rsidP="007E7EBF">
            <w:pPr>
              <w:rPr>
                <w:sz w:val="22"/>
                <w:szCs w:val="22"/>
              </w:rPr>
            </w:pPr>
            <w:r w:rsidRPr="009550D6">
              <w:rPr>
                <w:sz w:val="22"/>
                <w:szCs w:val="22"/>
              </w:rPr>
              <w:t>Поточна кредиторська заборгованість за розрахунками з бюджетом</w:t>
            </w:r>
          </w:p>
        </w:tc>
        <w:tc>
          <w:tcPr>
            <w:tcW w:w="2622" w:type="dxa"/>
            <w:shd w:val="clear" w:color="auto" w:fill="auto"/>
            <w:vAlign w:val="center"/>
          </w:tcPr>
          <w:p w:rsidR="001A7801" w:rsidRPr="009550D6" w:rsidRDefault="00010846" w:rsidP="007E7EBF">
            <w:pPr>
              <w:ind w:right="813"/>
              <w:jc w:val="right"/>
              <w:rPr>
                <w:sz w:val="22"/>
                <w:szCs w:val="22"/>
                <w:lang w:val="ru-RU"/>
              </w:rPr>
            </w:pPr>
            <w:r w:rsidRPr="009550D6">
              <w:rPr>
                <w:sz w:val="22"/>
                <w:szCs w:val="22"/>
                <w:lang w:val="ru-RU"/>
              </w:rPr>
              <w:t>11</w:t>
            </w:r>
          </w:p>
        </w:tc>
        <w:tc>
          <w:tcPr>
            <w:tcW w:w="2481" w:type="dxa"/>
            <w:shd w:val="clear" w:color="auto" w:fill="auto"/>
            <w:vAlign w:val="center"/>
          </w:tcPr>
          <w:p w:rsidR="001A7801" w:rsidRPr="009550D6" w:rsidRDefault="00010846" w:rsidP="007E7EBF">
            <w:pPr>
              <w:ind w:right="813"/>
              <w:jc w:val="right"/>
              <w:rPr>
                <w:sz w:val="22"/>
                <w:szCs w:val="22"/>
                <w:lang w:val="ru-RU"/>
              </w:rPr>
            </w:pPr>
            <w:r w:rsidRPr="009550D6">
              <w:rPr>
                <w:sz w:val="22"/>
                <w:szCs w:val="22"/>
                <w:lang w:val="ru-RU"/>
              </w:rPr>
              <w:t>7</w:t>
            </w:r>
          </w:p>
        </w:tc>
      </w:tr>
      <w:tr w:rsidR="001A7801" w:rsidRPr="00E1656C" w:rsidTr="007E7EBF">
        <w:tc>
          <w:tcPr>
            <w:tcW w:w="4928" w:type="dxa"/>
            <w:shd w:val="clear" w:color="auto" w:fill="auto"/>
          </w:tcPr>
          <w:p w:rsidR="001A7801" w:rsidRPr="009550D6" w:rsidRDefault="001A7801" w:rsidP="007E7EBF">
            <w:pPr>
              <w:rPr>
                <w:sz w:val="22"/>
                <w:szCs w:val="22"/>
              </w:rPr>
            </w:pPr>
            <w:r w:rsidRPr="009550D6">
              <w:rPr>
                <w:sz w:val="22"/>
                <w:szCs w:val="22"/>
              </w:rPr>
              <w:t>Поточна кредиторська заборгованість за розрахунками зі страхування</w:t>
            </w:r>
          </w:p>
        </w:tc>
        <w:tc>
          <w:tcPr>
            <w:tcW w:w="2622" w:type="dxa"/>
            <w:shd w:val="clear" w:color="auto" w:fill="auto"/>
            <w:vAlign w:val="center"/>
          </w:tcPr>
          <w:p w:rsidR="001A7801" w:rsidRPr="009550D6" w:rsidRDefault="00010846" w:rsidP="007E7EBF">
            <w:pPr>
              <w:ind w:right="813"/>
              <w:jc w:val="right"/>
              <w:rPr>
                <w:sz w:val="22"/>
                <w:szCs w:val="22"/>
                <w:lang w:val="ru-RU"/>
              </w:rPr>
            </w:pPr>
            <w:r w:rsidRPr="009550D6">
              <w:rPr>
                <w:sz w:val="22"/>
                <w:szCs w:val="22"/>
                <w:lang w:val="ru-RU"/>
              </w:rPr>
              <w:t>-</w:t>
            </w:r>
          </w:p>
        </w:tc>
        <w:tc>
          <w:tcPr>
            <w:tcW w:w="2481" w:type="dxa"/>
            <w:shd w:val="clear" w:color="auto" w:fill="auto"/>
            <w:vAlign w:val="center"/>
          </w:tcPr>
          <w:p w:rsidR="001A7801" w:rsidRPr="009550D6" w:rsidRDefault="00194363" w:rsidP="007E7EBF">
            <w:pPr>
              <w:ind w:right="813"/>
              <w:jc w:val="right"/>
              <w:rPr>
                <w:sz w:val="22"/>
                <w:szCs w:val="22"/>
              </w:rPr>
            </w:pPr>
            <w:r w:rsidRPr="009550D6">
              <w:rPr>
                <w:sz w:val="22"/>
                <w:szCs w:val="22"/>
              </w:rPr>
              <w:t>___</w:t>
            </w:r>
          </w:p>
        </w:tc>
      </w:tr>
      <w:tr w:rsidR="001A7801" w:rsidRPr="007D6961" w:rsidTr="007E7EBF">
        <w:tc>
          <w:tcPr>
            <w:tcW w:w="4928" w:type="dxa"/>
            <w:shd w:val="clear" w:color="auto" w:fill="auto"/>
          </w:tcPr>
          <w:p w:rsidR="001A7801" w:rsidRPr="009550D6" w:rsidRDefault="001A7801" w:rsidP="007E7EBF">
            <w:pPr>
              <w:rPr>
                <w:sz w:val="22"/>
                <w:szCs w:val="22"/>
              </w:rPr>
            </w:pPr>
            <w:r w:rsidRPr="009550D6">
              <w:rPr>
                <w:sz w:val="22"/>
                <w:szCs w:val="22"/>
              </w:rPr>
              <w:t>Поточна кредиторська заборгованість за розрахунками з оплати праці</w:t>
            </w:r>
          </w:p>
        </w:tc>
        <w:tc>
          <w:tcPr>
            <w:tcW w:w="2622" w:type="dxa"/>
            <w:shd w:val="clear" w:color="auto" w:fill="auto"/>
            <w:vAlign w:val="center"/>
          </w:tcPr>
          <w:p w:rsidR="001A7801" w:rsidRPr="009550D6" w:rsidRDefault="00194363" w:rsidP="007E7EBF">
            <w:pPr>
              <w:ind w:right="813"/>
              <w:jc w:val="right"/>
              <w:rPr>
                <w:sz w:val="22"/>
                <w:szCs w:val="22"/>
              </w:rPr>
            </w:pPr>
            <w:r w:rsidRPr="009550D6">
              <w:rPr>
                <w:sz w:val="22"/>
                <w:szCs w:val="22"/>
              </w:rPr>
              <w:t>___</w:t>
            </w:r>
          </w:p>
        </w:tc>
        <w:tc>
          <w:tcPr>
            <w:tcW w:w="2481" w:type="dxa"/>
            <w:shd w:val="clear" w:color="auto" w:fill="auto"/>
            <w:vAlign w:val="center"/>
          </w:tcPr>
          <w:p w:rsidR="001A7801" w:rsidRPr="009550D6" w:rsidRDefault="00194363" w:rsidP="007E7EBF">
            <w:pPr>
              <w:ind w:right="813"/>
              <w:jc w:val="right"/>
              <w:rPr>
                <w:sz w:val="22"/>
                <w:szCs w:val="22"/>
              </w:rPr>
            </w:pPr>
            <w:r w:rsidRPr="009550D6">
              <w:rPr>
                <w:sz w:val="22"/>
                <w:szCs w:val="22"/>
              </w:rPr>
              <w:t>___-</w:t>
            </w:r>
          </w:p>
        </w:tc>
      </w:tr>
      <w:tr w:rsidR="001A7801" w:rsidRPr="007D6961" w:rsidTr="007E7EBF">
        <w:tc>
          <w:tcPr>
            <w:tcW w:w="4928" w:type="dxa"/>
            <w:tcBorders>
              <w:bottom w:val="nil"/>
            </w:tcBorders>
            <w:shd w:val="clear" w:color="auto" w:fill="auto"/>
          </w:tcPr>
          <w:p w:rsidR="001A7801" w:rsidRPr="009550D6" w:rsidRDefault="001A7801" w:rsidP="007E7EBF">
            <w:pPr>
              <w:rPr>
                <w:sz w:val="22"/>
                <w:szCs w:val="22"/>
              </w:rPr>
            </w:pPr>
            <w:r w:rsidRPr="009550D6">
              <w:rPr>
                <w:sz w:val="22"/>
                <w:szCs w:val="22"/>
              </w:rPr>
              <w:t>Інші поточні зобов’язання, в т.ч.</w:t>
            </w:r>
          </w:p>
          <w:p w:rsidR="001A7801" w:rsidRPr="009550D6" w:rsidRDefault="001A7801" w:rsidP="001A7801">
            <w:pPr>
              <w:pStyle w:val="af4"/>
              <w:numPr>
                <w:ilvl w:val="0"/>
                <w:numId w:val="10"/>
              </w:numPr>
              <w:spacing w:after="0" w:line="240" w:lineRule="auto"/>
              <w:rPr>
                <w:rFonts w:ascii="Times New Roman" w:hAnsi="Times New Roman"/>
                <w:lang w:val="uk-UA"/>
              </w:rPr>
            </w:pPr>
            <w:r w:rsidRPr="009550D6">
              <w:rPr>
                <w:rFonts w:ascii="Times New Roman" w:hAnsi="Times New Roman"/>
                <w:lang w:val="uk-UA"/>
              </w:rPr>
              <w:t>поворотна фінансова допомога</w:t>
            </w:r>
          </w:p>
        </w:tc>
        <w:tc>
          <w:tcPr>
            <w:tcW w:w="2622" w:type="dxa"/>
            <w:tcBorders>
              <w:bottom w:val="nil"/>
            </w:tcBorders>
            <w:shd w:val="clear" w:color="auto" w:fill="auto"/>
          </w:tcPr>
          <w:p w:rsidR="001A7801" w:rsidRPr="009550D6" w:rsidRDefault="00194363" w:rsidP="007E7EBF">
            <w:pPr>
              <w:ind w:right="813"/>
              <w:jc w:val="right"/>
              <w:rPr>
                <w:sz w:val="22"/>
                <w:szCs w:val="22"/>
              </w:rPr>
            </w:pPr>
            <w:r w:rsidRPr="009550D6">
              <w:rPr>
                <w:sz w:val="22"/>
                <w:szCs w:val="22"/>
              </w:rPr>
              <w:t>____</w:t>
            </w:r>
          </w:p>
          <w:p w:rsidR="001A7801" w:rsidRPr="009550D6" w:rsidRDefault="00194363" w:rsidP="007E7EBF">
            <w:pPr>
              <w:ind w:right="813"/>
              <w:jc w:val="right"/>
              <w:rPr>
                <w:sz w:val="22"/>
                <w:szCs w:val="22"/>
              </w:rPr>
            </w:pPr>
            <w:r w:rsidRPr="009550D6">
              <w:rPr>
                <w:sz w:val="22"/>
                <w:szCs w:val="22"/>
              </w:rPr>
              <w:t>________</w:t>
            </w:r>
          </w:p>
        </w:tc>
        <w:tc>
          <w:tcPr>
            <w:tcW w:w="2481" w:type="dxa"/>
            <w:tcBorders>
              <w:bottom w:val="nil"/>
            </w:tcBorders>
            <w:shd w:val="clear" w:color="auto" w:fill="auto"/>
          </w:tcPr>
          <w:p w:rsidR="001A7801" w:rsidRPr="009550D6" w:rsidRDefault="001A7801" w:rsidP="007E7EBF">
            <w:pPr>
              <w:ind w:right="813"/>
              <w:jc w:val="right"/>
              <w:rPr>
                <w:sz w:val="22"/>
                <w:szCs w:val="22"/>
              </w:rPr>
            </w:pPr>
            <w:r w:rsidRPr="009550D6">
              <w:rPr>
                <w:sz w:val="22"/>
                <w:szCs w:val="22"/>
              </w:rPr>
              <w:t>-</w:t>
            </w:r>
          </w:p>
          <w:p w:rsidR="001A7801" w:rsidRPr="009550D6" w:rsidRDefault="001A7801" w:rsidP="007E7EBF">
            <w:pPr>
              <w:ind w:right="813"/>
              <w:jc w:val="right"/>
              <w:rPr>
                <w:sz w:val="22"/>
                <w:szCs w:val="22"/>
              </w:rPr>
            </w:pPr>
            <w:r w:rsidRPr="009550D6">
              <w:rPr>
                <w:sz w:val="22"/>
                <w:szCs w:val="22"/>
              </w:rPr>
              <w:t>-</w:t>
            </w:r>
          </w:p>
        </w:tc>
      </w:tr>
      <w:tr w:rsidR="001A7801" w:rsidRPr="007D6961" w:rsidTr="007E7EBF">
        <w:tc>
          <w:tcPr>
            <w:tcW w:w="4928" w:type="dxa"/>
            <w:tcBorders>
              <w:top w:val="nil"/>
              <w:bottom w:val="single" w:sz="4" w:space="0" w:color="auto"/>
            </w:tcBorders>
            <w:shd w:val="clear" w:color="auto" w:fill="auto"/>
          </w:tcPr>
          <w:p w:rsidR="001A7801" w:rsidRPr="009550D6" w:rsidRDefault="001A7801" w:rsidP="007E7EBF">
            <w:pPr>
              <w:ind w:left="360"/>
              <w:rPr>
                <w:sz w:val="22"/>
                <w:szCs w:val="22"/>
              </w:rPr>
            </w:pPr>
            <w:r w:rsidRPr="009550D6">
              <w:rPr>
                <w:sz w:val="22"/>
                <w:szCs w:val="22"/>
              </w:rPr>
              <w:t xml:space="preserve">- розрахунки з іншими кредиторами за іншими </w:t>
            </w:r>
          </w:p>
        </w:tc>
        <w:tc>
          <w:tcPr>
            <w:tcW w:w="2622" w:type="dxa"/>
            <w:tcBorders>
              <w:top w:val="nil"/>
              <w:bottom w:val="single" w:sz="4" w:space="0" w:color="auto"/>
            </w:tcBorders>
            <w:shd w:val="clear" w:color="auto" w:fill="auto"/>
            <w:vAlign w:val="center"/>
          </w:tcPr>
          <w:p w:rsidR="001A7801" w:rsidRPr="009550D6" w:rsidRDefault="00194363" w:rsidP="007E7EBF">
            <w:pPr>
              <w:ind w:right="813"/>
              <w:jc w:val="right"/>
              <w:rPr>
                <w:sz w:val="22"/>
                <w:szCs w:val="22"/>
              </w:rPr>
            </w:pPr>
            <w:r w:rsidRPr="009550D6">
              <w:rPr>
                <w:sz w:val="22"/>
                <w:szCs w:val="22"/>
              </w:rPr>
              <w:t>___</w:t>
            </w:r>
          </w:p>
        </w:tc>
        <w:tc>
          <w:tcPr>
            <w:tcW w:w="2481" w:type="dxa"/>
            <w:tcBorders>
              <w:top w:val="nil"/>
              <w:bottom w:val="single" w:sz="4" w:space="0" w:color="auto"/>
            </w:tcBorders>
            <w:shd w:val="clear" w:color="auto" w:fill="auto"/>
            <w:vAlign w:val="center"/>
          </w:tcPr>
          <w:p w:rsidR="001A7801" w:rsidRPr="009550D6" w:rsidRDefault="001A7801" w:rsidP="007E7EBF">
            <w:pPr>
              <w:ind w:right="813"/>
              <w:jc w:val="right"/>
              <w:rPr>
                <w:sz w:val="22"/>
                <w:szCs w:val="22"/>
              </w:rPr>
            </w:pPr>
            <w:r w:rsidRPr="009550D6">
              <w:rPr>
                <w:sz w:val="22"/>
                <w:szCs w:val="22"/>
              </w:rPr>
              <w:t>-</w:t>
            </w:r>
          </w:p>
        </w:tc>
      </w:tr>
    </w:tbl>
    <w:p w:rsidR="003A7506" w:rsidRPr="004035A4" w:rsidRDefault="003A7506" w:rsidP="00F37A5F">
      <w:pPr>
        <w:autoSpaceDE w:val="0"/>
        <w:ind w:firstLine="600"/>
        <w:jc w:val="both"/>
        <w:rPr>
          <w:szCs w:val="24"/>
        </w:rPr>
      </w:pPr>
      <w:r w:rsidRPr="004035A4">
        <w:rPr>
          <w:szCs w:val="24"/>
        </w:rPr>
        <w:lastRenderedPageBreak/>
        <w:t>Станом на 31 грудня 201</w:t>
      </w:r>
      <w:r>
        <w:rPr>
          <w:szCs w:val="24"/>
        </w:rPr>
        <w:t>8</w:t>
      </w:r>
      <w:r w:rsidRPr="004035A4">
        <w:rPr>
          <w:szCs w:val="24"/>
        </w:rPr>
        <w:t xml:space="preserve"> року кредиторська заборгованість була представлена наступним</w:t>
      </w:r>
      <w:r>
        <w:rPr>
          <w:szCs w:val="24"/>
        </w:rPr>
        <w:t xml:space="preserve">, </w:t>
      </w:r>
      <w:r w:rsidRPr="004035A4">
        <w:rPr>
          <w:szCs w:val="24"/>
        </w:rPr>
        <w:t xml:space="preserve"> заборгованістю перед бюджетом по податку на прибуток в сумі </w:t>
      </w:r>
      <w:r>
        <w:rPr>
          <w:szCs w:val="24"/>
        </w:rPr>
        <w:t>11 тис грн; на 31.12.2019року – 7 тис. грн..</w:t>
      </w:r>
    </w:p>
    <w:p w:rsidR="001A7801" w:rsidRPr="00E1656C" w:rsidRDefault="001A7801" w:rsidP="00F37A5F">
      <w:pPr>
        <w:pStyle w:val="12"/>
        <w:shd w:val="clear" w:color="auto" w:fill="auto"/>
        <w:spacing w:before="0" w:after="0" w:line="240" w:lineRule="auto"/>
        <w:ind w:firstLine="600"/>
        <w:jc w:val="both"/>
        <w:rPr>
          <w:sz w:val="24"/>
          <w:szCs w:val="24"/>
          <w:lang w:val="uk-UA"/>
        </w:rPr>
      </w:pPr>
    </w:p>
    <w:p w:rsidR="001A7801" w:rsidRPr="00E1656C" w:rsidRDefault="001A7801" w:rsidP="00F37A5F">
      <w:pPr>
        <w:pStyle w:val="12"/>
        <w:shd w:val="clear" w:color="auto" w:fill="auto"/>
        <w:spacing w:before="0" w:after="0" w:line="240" w:lineRule="auto"/>
        <w:ind w:firstLine="600"/>
        <w:jc w:val="both"/>
        <w:rPr>
          <w:sz w:val="24"/>
          <w:szCs w:val="24"/>
          <w:lang w:val="uk-UA"/>
        </w:rPr>
      </w:pPr>
      <w:r w:rsidRPr="00E1656C">
        <w:rPr>
          <w:sz w:val="24"/>
          <w:szCs w:val="24"/>
          <w:lang w:val="uk-UA"/>
        </w:rPr>
        <w:t>Товариство очікує погашення вищевказаної заборгованості протягом 20</w:t>
      </w:r>
      <w:r w:rsidR="00010846">
        <w:rPr>
          <w:sz w:val="24"/>
          <w:szCs w:val="24"/>
          <w:lang w:val="uk-UA"/>
        </w:rPr>
        <w:t>20</w:t>
      </w:r>
      <w:r w:rsidRPr="00E1656C">
        <w:rPr>
          <w:sz w:val="24"/>
          <w:szCs w:val="24"/>
          <w:lang w:val="uk-UA"/>
        </w:rPr>
        <w:t xml:space="preserve"> року.</w:t>
      </w:r>
    </w:p>
    <w:p w:rsidR="001A7801" w:rsidRPr="00E1656C" w:rsidRDefault="001A7801" w:rsidP="00F37A5F">
      <w:pPr>
        <w:ind w:firstLine="600"/>
        <w:jc w:val="both"/>
        <w:rPr>
          <w:b/>
          <w:bCs/>
          <w:szCs w:val="24"/>
        </w:rPr>
      </w:pPr>
    </w:p>
    <w:p w:rsidR="001A7801" w:rsidRPr="00E1656C" w:rsidRDefault="001A7801" w:rsidP="00F37A5F">
      <w:pPr>
        <w:ind w:firstLine="600"/>
        <w:contextualSpacing/>
        <w:jc w:val="both"/>
        <w:rPr>
          <w:szCs w:val="24"/>
        </w:rPr>
      </w:pPr>
      <w:r w:rsidRPr="00E1656C">
        <w:rPr>
          <w:szCs w:val="24"/>
        </w:rPr>
        <w:t>Компанія здійснює виключно безперервні оцінки справедливої вартості активів та зобов’язань,  тобто такі оцінки, які вимагаються МСБО 9 та МСФЗ 13 у звіті про фінансовий стан на кінець кожного звітного періоду.</w:t>
      </w:r>
    </w:p>
    <w:p w:rsidR="001A7801" w:rsidRPr="00E1656C" w:rsidRDefault="001A7801" w:rsidP="00F37A5F">
      <w:pPr>
        <w:ind w:firstLine="600"/>
        <w:contextualSpacing/>
        <w:jc w:val="both"/>
        <w:rPr>
          <w:rFonts w:eastAsia="Times New Roman"/>
          <w:b/>
          <w:szCs w:val="24"/>
          <w:lang w:eastAsia="uk-UA"/>
        </w:rPr>
      </w:pPr>
    </w:p>
    <w:p w:rsidR="001A7801" w:rsidRPr="0021107F" w:rsidRDefault="001A7801" w:rsidP="00F37A5F">
      <w:pPr>
        <w:numPr>
          <w:ilvl w:val="1"/>
          <w:numId w:val="18"/>
        </w:numPr>
        <w:ind w:firstLine="600"/>
        <w:contextualSpacing/>
        <w:jc w:val="both"/>
        <w:rPr>
          <w:b/>
          <w:i/>
          <w:szCs w:val="24"/>
        </w:rPr>
      </w:pPr>
      <w:r w:rsidRPr="0021107F">
        <w:rPr>
          <w:b/>
          <w:i/>
          <w:szCs w:val="24"/>
        </w:rPr>
        <w:t>Грошові кошти та їх еквіваленти</w:t>
      </w:r>
    </w:p>
    <w:p w:rsidR="00194363" w:rsidRPr="002A0906" w:rsidRDefault="00194363" w:rsidP="00F37A5F">
      <w:pPr>
        <w:ind w:firstLine="600"/>
        <w:jc w:val="both"/>
        <w:rPr>
          <w:szCs w:val="24"/>
        </w:rPr>
      </w:pPr>
      <w:r w:rsidRPr="002A0906">
        <w:rPr>
          <w:szCs w:val="24"/>
        </w:rPr>
        <w:t xml:space="preserve">Грошові кошти та їх еквіваленти включають готівкові кошти, кошти на рахунках у банках, вони  характеризуються незначним ризиком зміни вартості. Облік касових операцій в Ломбарді  ведеться згідно з вимогами НБУ та Нацкомфінпослуг. </w:t>
      </w:r>
    </w:p>
    <w:p w:rsidR="001A7801" w:rsidRPr="00E1656C" w:rsidRDefault="001A7801" w:rsidP="00F37A5F">
      <w:pPr>
        <w:ind w:firstLine="600"/>
        <w:contextualSpacing/>
        <w:jc w:val="both"/>
        <w:rPr>
          <w:szCs w:val="24"/>
        </w:rPr>
      </w:pPr>
      <w:r w:rsidRPr="00E1656C">
        <w:rPr>
          <w:szCs w:val="24"/>
        </w:rPr>
        <w:t xml:space="preserve">Грошові кошти оцінені за справедливою вартістю за визначеною методикою оцінювання. Первісна та подальша оцінка грошових коштів та їх еквівалентів здійснюється за справедливою вартістю, яка дорівнює їх номінальній вартості. </w:t>
      </w:r>
      <w:r w:rsidR="00A41D39" w:rsidRPr="00A41D39">
        <w:rPr>
          <w:szCs w:val="24"/>
        </w:rPr>
        <w:t>Застосову</w:t>
      </w:r>
      <w:r w:rsidRPr="00A41D39">
        <w:rPr>
          <w:szCs w:val="24"/>
        </w:rPr>
        <w:t>ється</w:t>
      </w:r>
      <w:r w:rsidRPr="00E1656C">
        <w:rPr>
          <w:szCs w:val="24"/>
        </w:rPr>
        <w:t xml:space="preserve"> ринковий метод оцінки. Вихідними даними є офіційні курси НБУ. </w:t>
      </w:r>
      <w:r w:rsidRPr="00E1656C">
        <w:rPr>
          <w:bCs/>
          <w:szCs w:val="24"/>
        </w:rPr>
        <w:t>Рівень ієрархії справедливої вартості, до якого належать оцінки справедливої вартості – перший</w:t>
      </w:r>
      <w:r w:rsidR="002A0906">
        <w:rPr>
          <w:bCs/>
          <w:szCs w:val="24"/>
        </w:rPr>
        <w:t xml:space="preserve"> </w:t>
      </w:r>
      <w:r w:rsidRPr="00E1656C">
        <w:rPr>
          <w:bCs/>
          <w:szCs w:val="24"/>
        </w:rPr>
        <w:t>(</w:t>
      </w:r>
      <w:r w:rsidRPr="00E1656C">
        <w:rPr>
          <w:szCs w:val="24"/>
        </w:rPr>
        <w:t xml:space="preserve"> спостережувані)</w:t>
      </w:r>
    </w:p>
    <w:p w:rsidR="000347EB" w:rsidRPr="004035A4" w:rsidRDefault="000347EB" w:rsidP="00F37A5F">
      <w:pPr>
        <w:autoSpaceDE w:val="0"/>
        <w:ind w:firstLine="600"/>
        <w:jc w:val="both"/>
        <w:rPr>
          <w:szCs w:val="24"/>
        </w:rPr>
      </w:pPr>
      <w:r w:rsidRPr="004035A4">
        <w:rPr>
          <w:szCs w:val="24"/>
        </w:rPr>
        <w:t>Станом на 31 грудня 201</w:t>
      </w:r>
      <w:r w:rsidR="00F37A5F">
        <w:rPr>
          <w:szCs w:val="24"/>
        </w:rPr>
        <w:t>9</w:t>
      </w:r>
      <w:r w:rsidRPr="004035A4">
        <w:rPr>
          <w:szCs w:val="24"/>
        </w:rPr>
        <w:t xml:space="preserve"> року грошові кошти були представлені наступним чином:</w:t>
      </w:r>
    </w:p>
    <w:p w:rsidR="000347EB" w:rsidRPr="004035A4" w:rsidRDefault="000347EB" w:rsidP="00F37A5F">
      <w:pPr>
        <w:autoSpaceDE w:val="0"/>
        <w:ind w:firstLine="600"/>
        <w:jc w:val="both"/>
        <w:rPr>
          <w:szCs w:val="24"/>
        </w:rPr>
      </w:pPr>
    </w:p>
    <w:tbl>
      <w:tblPr>
        <w:tblW w:w="9923" w:type="dxa"/>
        <w:tblInd w:w="108" w:type="dxa"/>
        <w:tblLayout w:type="fixed"/>
        <w:tblLook w:val="0000"/>
      </w:tblPr>
      <w:tblGrid>
        <w:gridCol w:w="4820"/>
        <w:gridCol w:w="2409"/>
        <w:gridCol w:w="2694"/>
      </w:tblGrid>
      <w:tr w:rsidR="002A0906" w:rsidRPr="007D6961" w:rsidTr="003A7506">
        <w:trPr>
          <w:trHeight w:val="300"/>
        </w:trPr>
        <w:tc>
          <w:tcPr>
            <w:tcW w:w="4820" w:type="dxa"/>
            <w:tcBorders>
              <w:top w:val="single" w:sz="4" w:space="0" w:color="000000"/>
              <w:left w:val="single" w:sz="4" w:space="0" w:color="000000"/>
              <w:bottom w:val="single" w:sz="4" w:space="0" w:color="000000"/>
            </w:tcBorders>
            <w:shd w:val="clear" w:color="auto" w:fill="auto"/>
            <w:vAlign w:val="bottom"/>
          </w:tcPr>
          <w:p w:rsidR="002A0906" w:rsidRPr="007D6961" w:rsidRDefault="002A0906" w:rsidP="0049337B">
            <w:pPr>
              <w:snapToGrid w:val="0"/>
              <w:jc w:val="both"/>
              <w:rPr>
                <w:b/>
                <w:bCs/>
                <w:color w:val="000000"/>
                <w:szCs w:val="22"/>
              </w:rPr>
            </w:pPr>
            <w:r w:rsidRPr="007D6961">
              <w:rPr>
                <w:b/>
                <w:bCs/>
                <w:color w:val="000000"/>
                <w:szCs w:val="22"/>
              </w:rPr>
              <w:t>Грошові кошти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A0906" w:rsidRPr="007D6961" w:rsidRDefault="002A0906" w:rsidP="00010846">
            <w:pPr>
              <w:snapToGrid w:val="0"/>
              <w:jc w:val="both"/>
              <w:rPr>
                <w:b/>
                <w:bCs/>
                <w:color w:val="000000"/>
                <w:szCs w:val="22"/>
              </w:rPr>
            </w:pPr>
            <w:r w:rsidRPr="007D6961">
              <w:rPr>
                <w:b/>
                <w:szCs w:val="24"/>
              </w:rPr>
              <w:t>31 грудня 201</w:t>
            </w:r>
            <w:r w:rsidR="00010846">
              <w:rPr>
                <w:b/>
                <w:szCs w:val="24"/>
              </w:rPr>
              <w:t>8</w:t>
            </w:r>
            <w:r w:rsidRPr="007D6961">
              <w:rPr>
                <w:b/>
                <w:szCs w:val="24"/>
              </w:rPr>
              <w:t xml:space="preserve"> року</w:t>
            </w:r>
          </w:p>
        </w:tc>
        <w:tc>
          <w:tcPr>
            <w:tcW w:w="2694" w:type="dxa"/>
            <w:tcBorders>
              <w:top w:val="single" w:sz="4" w:space="0" w:color="000000"/>
              <w:left w:val="single" w:sz="4" w:space="0" w:color="000000"/>
              <w:bottom w:val="single" w:sz="4" w:space="0" w:color="000000"/>
              <w:right w:val="single" w:sz="4" w:space="0" w:color="000000"/>
            </w:tcBorders>
          </w:tcPr>
          <w:p w:rsidR="002A0906" w:rsidRPr="007D6961" w:rsidRDefault="002A0906" w:rsidP="00010846">
            <w:pPr>
              <w:snapToGrid w:val="0"/>
              <w:jc w:val="both"/>
              <w:rPr>
                <w:b/>
                <w:bCs/>
                <w:color w:val="000000"/>
                <w:szCs w:val="22"/>
              </w:rPr>
            </w:pPr>
            <w:r w:rsidRPr="007D6961">
              <w:rPr>
                <w:b/>
                <w:szCs w:val="24"/>
              </w:rPr>
              <w:t>31 грудня 201</w:t>
            </w:r>
            <w:r w:rsidR="00010846">
              <w:rPr>
                <w:b/>
                <w:szCs w:val="24"/>
              </w:rPr>
              <w:t>9</w:t>
            </w:r>
            <w:r w:rsidRPr="007D6961">
              <w:rPr>
                <w:b/>
                <w:szCs w:val="24"/>
              </w:rPr>
              <w:t xml:space="preserve"> року</w:t>
            </w:r>
          </w:p>
        </w:tc>
      </w:tr>
      <w:tr w:rsidR="002A0906" w:rsidRPr="007D6961" w:rsidTr="003A7506">
        <w:trPr>
          <w:trHeight w:val="300"/>
        </w:trPr>
        <w:tc>
          <w:tcPr>
            <w:tcW w:w="4820" w:type="dxa"/>
            <w:tcBorders>
              <w:left w:val="single" w:sz="4" w:space="0" w:color="000000"/>
              <w:bottom w:val="single" w:sz="4" w:space="0" w:color="000000"/>
            </w:tcBorders>
            <w:shd w:val="clear" w:color="auto" w:fill="auto"/>
            <w:vAlign w:val="bottom"/>
          </w:tcPr>
          <w:p w:rsidR="002A0906" w:rsidRPr="007D6961" w:rsidRDefault="002A0906" w:rsidP="0049337B">
            <w:pPr>
              <w:snapToGrid w:val="0"/>
              <w:jc w:val="both"/>
              <w:rPr>
                <w:color w:val="000000"/>
                <w:szCs w:val="22"/>
              </w:rPr>
            </w:pPr>
            <w:r w:rsidRPr="007D6961">
              <w:rPr>
                <w:color w:val="000000"/>
                <w:szCs w:val="22"/>
              </w:rPr>
              <w:t>Грошові кошти в національній валюті на поточних рахунках</w:t>
            </w:r>
          </w:p>
        </w:tc>
        <w:tc>
          <w:tcPr>
            <w:tcW w:w="2409" w:type="dxa"/>
            <w:tcBorders>
              <w:left w:val="single" w:sz="4" w:space="0" w:color="000000"/>
              <w:bottom w:val="single" w:sz="4" w:space="0" w:color="000000"/>
              <w:right w:val="single" w:sz="4" w:space="0" w:color="000000"/>
            </w:tcBorders>
            <w:shd w:val="clear" w:color="auto" w:fill="auto"/>
            <w:vAlign w:val="bottom"/>
          </w:tcPr>
          <w:p w:rsidR="002A0906" w:rsidRPr="007D6961" w:rsidRDefault="00010846" w:rsidP="00466E60">
            <w:pPr>
              <w:snapToGrid w:val="0"/>
              <w:jc w:val="both"/>
              <w:rPr>
                <w:color w:val="000000"/>
                <w:szCs w:val="22"/>
              </w:rPr>
            </w:pPr>
            <w:r>
              <w:rPr>
                <w:color w:val="000000"/>
                <w:szCs w:val="22"/>
              </w:rPr>
              <w:t>14</w:t>
            </w:r>
          </w:p>
        </w:tc>
        <w:tc>
          <w:tcPr>
            <w:tcW w:w="2694" w:type="dxa"/>
            <w:tcBorders>
              <w:left w:val="single" w:sz="4" w:space="0" w:color="000000"/>
              <w:bottom w:val="single" w:sz="4" w:space="0" w:color="000000"/>
              <w:right w:val="single" w:sz="4" w:space="0" w:color="000000"/>
            </w:tcBorders>
          </w:tcPr>
          <w:p w:rsidR="002A0906" w:rsidRPr="007D6961" w:rsidRDefault="00010846" w:rsidP="007D6961">
            <w:pPr>
              <w:snapToGrid w:val="0"/>
              <w:jc w:val="both"/>
              <w:rPr>
                <w:color w:val="000000"/>
                <w:szCs w:val="22"/>
              </w:rPr>
            </w:pPr>
            <w:r>
              <w:rPr>
                <w:color w:val="000000"/>
                <w:szCs w:val="22"/>
              </w:rPr>
              <w:t>237</w:t>
            </w:r>
          </w:p>
        </w:tc>
      </w:tr>
      <w:tr w:rsidR="002A0906" w:rsidRPr="007D6961" w:rsidTr="003A7506">
        <w:trPr>
          <w:trHeight w:val="300"/>
        </w:trPr>
        <w:tc>
          <w:tcPr>
            <w:tcW w:w="4820" w:type="dxa"/>
            <w:tcBorders>
              <w:left w:val="single" w:sz="4" w:space="0" w:color="000000"/>
              <w:bottom w:val="single" w:sz="4" w:space="0" w:color="000000"/>
            </w:tcBorders>
            <w:shd w:val="clear" w:color="auto" w:fill="auto"/>
            <w:vAlign w:val="bottom"/>
          </w:tcPr>
          <w:p w:rsidR="002A0906" w:rsidRPr="007D6961" w:rsidRDefault="002A0906" w:rsidP="0049337B">
            <w:pPr>
              <w:snapToGrid w:val="0"/>
              <w:jc w:val="both"/>
              <w:rPr>
                <w:color w:val="000000"/>
                <w:szCs w:val="22"/>
              </w:rPr>
            </w:pPr>
            <w:r w:rsidRPr="007D6961">
              <w:rPr>
                <w:color w:val="000000"/>
                <w:szCs w:val="22"/>
              </w:rPr>
              <w:t>Грошові кошти в національній валюті у касі</w:t>
            </w:r>
          </w:p>
        </w:tc>
        <w:tc>
          <w:tcPr>
            <w:tcW w:w="2409" w:type="dxa"/>
            <w:tcBorders>
              <w:left w:val="single" w:sz="4" w:space="0" w:color="000000"/>
              <w:bottom w:val="single" w:sz="4" w:space="0" w:color="000000"/>
              <w:right w:val="single" w:sz="4" w:space="0" w:color="000000"/>
            </w:tcBorders>
            <w:shd w:val="clear" w:color="auto" w:fill="auto"/>
            <w:vAlign w:val="bottom"/>
          </w:tcPr>
          <w:p w:rsidR="002A0906" w:rsidRPr="007D6961" w:rsidRDefault="00010846" w:rsidP="0049337B">
            <w:pPr>
              <w:snapToGrid w:val="0"/>
              <w:jc w:val="both"/>
              <w:rPr>
                <w:szCs w:val="22"/>
              </w:rPr>
            </w:pPr>
            <w:r>
              <w:rPr>
                <w:szCs w:val="22"/>
              </w:rPr>
              <w:t>20</w:t>
            </w:r>
          </w:p>
        </w:tc>
        <w:tc>
          <w:tcPr>
            <w:tcW w:w="2694" w:type="dxa"/>
            <w:tcBorders>
              <w:left w:val="single" w:sz="4" w:space="0" w:color="000000"/>
              <w:bottom w:val="single" w:sz="4" w:space="0" w:color="000000"/>
              <w:right w:val="single" w:sz="4" w:space="0" w:color="000000"/>
            </w:tcBorders>
          </w:tcPr>
          <w:p w:rsidR="002A0906" w:rsidRPr="007D6961" w:rsidRDefault="00010846" w:rsidP="0049337B">
            <w:pPr>
              <w:snapToGrid w:val="0"/>
              <w:jc w:val="both"/>
              <w:rPr>
                <w:szCs w:val="22"/>
              </w:rPr>
            </w:pPr>
            <w:r>
              <w:rPr>
                <w:szCs w:val="22"/>
              </w:rPr>
              <w:t>13</w:t>
            </w:r>
          </w:p>
        </w:tc>
      </w:tr>
      <w:tr w:rsidR="002A0906" w:rsidRPr="004035A4" w:rsidTr="003A7506">
        <w:trPr>
          <w:trHeight w:val="315"/>
        </w:trPr>
        <w:tc>
          <w:tcPr>
            <w:tcW w:w="4820" w:type="dxa"/>
            <w:tcBorders>
              <w:left w:val="single" w:sz="4" w:space="0" w:color="000000"/>
              <w:bottom w:val="single" w:sz="4" w:space="0" w:color="000000"/>
            </w:tcBorders>
            <w:shd w:val="clear" w:color="auto" w:fill="auto"/>
            <w:vAlign w:val="bottom"/>
          </w:tcPr>
          <w:p w:rsidR="002A0906" w:rsidRPr="007D6961" w:rsidRDefault="002A0906" w:rsidP="0049337B">
            <w:pPr>
              <w:snapToGrid w:val="0"/>
              <w:jc w:val="both"/>
              <w:rPr>
                <w:b/>
                <w:bCs/>
                <w:color w:val="000000"/>
                <w:szCs w:val="22"/>
              </w:rPr>
            </w:pPr>
            <w:r w:rsidRPr="007D6961">
              <w:rPr>
                <w:b/>
                <w:bCs/>
                <w:color w:val="000000"/>
                <w:szCs w:val="22"/>
              </w:rPr>
              <w:t>Всього</w:t>
            </w:r>
          </w:p>
        </w:tc>
        <w:tc>
          <w:tcPr>
            <w:tcW w:w="2409" w:type="dxa"/>
            <w:tcBorders>
              <w:left w:val="single" w:sz="4" w:space="0" w:color="000000"/>
              <w:bottom w:val="single" w:sz="4" w:space="0" w:color="000000"/>
              <w:right w:val="single" w:sz="4" w:space="0" w:color="000000"/>
            </w:tcBorders>
            <w:shd w:val="clear" w:color="auto" w:fill="auto"/>
            <w:vAlign w:val="bottom"/>
          </w:tcPr>
          <w:p w:rsidR="002A0906" w:rsidRPr="007D6961" w:rsidRDefault="002A0906" w:rsidP="00010846">
            <w:pPr>
              <w:snapToGrid w:val="0"/>
              <w:jc w:val="both"/>
              <w:rPr>
                <w:b/>
                <w:szCs w:val="22"/>
              </w:rPr>
            </w:pPr>
            <w:r w:rsidRPr="007D6961">
              <w:rPr>
                <w:b/>
                <w:szCs w:val="22"/>
              </w:rPr>
              <w:t>34</w:t>
            </w:r>
          </w:p>
        </w:tc>
        <w:tc>
          <w:tcPr>
            <w:tcW w:w="2694" w:type="dxa"/>
            <w:tcBorders>
              <w:left w:val="single" w:sz="4" w:space="0" w:color="000000"/>
              <w:bottom w:val="single" w:sz="4" w:space="0" w:color="000000"/>
              <w:right w:val="single" w:sz="4" w:space="0" w:color="000000"/>
            </w:tcBorders>
          </w:tcPr>
          <w:p w:rsidR="002A0906" w:rsidRPr="007D6961" w:rsidRDefault="00010846" w:rsidP="007D6961">
            <w:pPr>
              <w:snapToGrid w:val="0"/>
              <w:jc w:val="both"/>
              <w:rPr>
                <w:b/>
                <w:szCs w:val="22"/>
              </w:rPr>
            </w:pPr>
            <w:r>
              <w:rPr>
                <w:b/>
                <w:szCs w:val="22"/>
              </w:rPr>
              <w:t>250</w:t>
            </w:r>
          </w:p>
        </w:tc>
      </w:tr>
    </w:tbl>
    <w:p w:rsidR="000347EB" w:rsidRPr="003A7506" w:rsidRDefault="000347EB" w:rsidP="003A7506">
      <w:pPr>
        <w:ind w:firstLine="567"/>
        <w:jc w:val="both"/>
        <w:rPr>
          <w:szCs w:val="24"/>
        </w:rPr>
      </w:pPr>
    </w:p>
    <w:p w:rsidR="002A0906" w:rsidRPr="003A7506" w:rsidRDefault="000347EB" w:rsidP="00F37A5F">
      <w:pPr>
        <w:numPr>
          <w:ilvl w:val="1"/>
          <w:numId w:val="18"/>
        </w:numPr>
        <w:ind w:left="0" w:firstLine="567"/>
        <w:jc w:val="both"/>
        <w:rPr>
          <w:b/>
          <w:szCs w:val="24"/>
        </w:rPr>
      </w:pPr>
      <w:r w:rsidRPr="003A7506">
        <w:rPr>
          <w:b/>
          <w:szCs w:val="24"/>
        </w:rPr>
        <w:t xml:space="preserve">Облік власного капіталу. </w:t>
      </w:r>
    </w:p>
    <w:p w:rsidR="002A0906" w:rsidRPr="003A7506" w:rsidRDefault="000347EB" w:rsidP="00F37A5F">
      <w:pPr>
        <w:ind w:firstLine="567"/>
        <w:jc w:val="both"/>
        <w:rPr>
          <w:szCs w:val="24"/>
        </w:rPr>
      </w:pPr>
      <w:r w:rsidRPr="003A7506">
        <w:rPr>
          <w:szCs w:val="24"/>
        </w:rPr>
        <w:t xml:space="preserve">Розмір статутного капіталу складає </w:t>
      </w:r>
      <w:r w:rsidR="00D06DB0" w:rsidRPr="003A7506">
        <w:rPr>
          <w:szCs w:val="24"/>
        </w:rPr>
        <w:t>1000</w:t>
      </w:r>
      <w:r w:rsidRPr="003A7506">
        <w:rPr>
          <w:szCs w:val="24"/>
        </w:rPr>
        <w:t xml:space="preserve"> тис. грн.. Статутний капітал сформований та сплачений своєчасно, в повному обсязі.  Збільшення чи зменшення статутного капіталу не проводилося.</w:t>
      </w:r>
    </w:p>
    <w:p w:rsidR="002A0906" w:rsidRPr="003A7506" w:rsidRDefault="000347EB" w:rsidP="00F37A5F">
      <w:pPr>
        <w:ind w:firstLine="567"/>
        <w:jc w:val="both"/>
        <w:rPr>
          <w:szCs w:val="24"/>
        </w:rPr>
      </w:pPr>
      <w:r w:rsidRPr="003A7506">
        <w:rPr>
          <w:szCs w:val="24"/>
        </w:rPr>
        <w:t xml:space="preserve"> Резервний капітал - </w:t>
      </w:r>
      <w:r w:rsidR="00D06DB0" w:rsidRPr="003A7506">
        <w:rPr>
          <w:szCs w:val="24"/>
        </w:rPr>
        <w:t>7</w:t>
      </w:r>
      <w:r w:rsidRPr="003A7506">
        <w:rPr>
          <w:szCs w:val="24"/>
        </w:rPr>
        <w:t xml:space="preserve"> тис. грн.</w:t>
      </w:r>
      <w:r w:rsidR="00435889" w:rsidRPr="003A7506">
        <w:rPr>
          <w:szCs w:val="24"/>
        </w:rPr>
        <w:t xml:space="preserve"> </w:t>
      </w:r>
    </w:p>
    <w:p w:rsidR="000347EB" w:rsidRPr="003A7506" w:rsidRDefault="00435889" w:rsidP="00F37A5F">
      <w:pPr>
        <w:ind w:firstLine="567"/>
        <w:jc w:val="both"/>
        <w:rPr>
          <w:szCs w:val="24"/>
        </w:rPr>
      </w:pPr>
      <w:r w:rsidRPr="003A7506">
        <w:rPr>
          <w:szCs w:val="24"/>
        </w:rPr>
        <w:t>Прибуток отриманий в 201</w:t>
      </w:r>
      <w:r w:rsidR="00010846" w:rsidRPr="003A7506">
        <w:rPr>
          <w:szCs w:val="24"/>
        </w:rPr>
        <w:t>9</w:t>
      </w:r>
      <w:r w:rsidRPr="003A7506">
        <w:rPr>
          <w:szCs w:val="24"/>
        </w:rPr>
        <w:t xml:space="preserve"> році склав </w:t>
      </w:r>
      <w:r w:rsidR="00010846" w:rsidRPr="003A7506">
        <w:rPr>
          <w:szCs w:val="24"/>
          <w:u w:val="single"/>
        </w:rPr>
        <w:t>38</w:t>
      </w:r>
      <w:r w:rsidRPr="003A7506">
        <w:rPr>
          <w:szCs w:val="24"/>
        </w:rPr>
        <w:t xml:space="preserve"> тис грн..</w:t>
      </w:r>
    </w:p>
    <w:p w:rsidR="000347EB" w:rsidRPr="003A7506" w:rsidRDefault="000347EB" w:rsidP="00F37A5F">
      <w:pPr>
        <w:tabs>
          <w:tab w:val="left" w:pos="0"/>
        </w:tabs>
        <w:autoSpaceDE w:val="0"/>
        <w:autoSpaceDN w:val="0"/>
        <w:adjustRightInd w:val="0"/>
        <w:ind w:firstLine="567"/>
        <w:jc w:val="both"/>
        <w:rPr>
          <w:szCs w:val="24"/>
        </w:rPr>
      </w:pPr>
      <w:r w:rsidRPr="003A7506">
        <w:rPr>
          <w:szCs w:val="24"/>
        </w:rPr>
        <w:t xml:space="preserve">Зобов'язаннями визнається заборгованість Ломбарду іншим юридичним або фізичним  особам, що виникла внаслідок минулих господарських операцій, погашення якої у майбутньому, як очікується, призведе до зменшення ресурсів Товариства та його економічних вигід. </w:t>
      </w:r>
    </w:p>
    <w:p w:rsidR="000347EB" w:rsidRPr="003A7506" w:rsidRDefault="000347EB" w:rsidP="00F37A5F">
      <w:pPr>
        <w:pStyle w:val="a7"/>
        <w:tabs>
          <w:tab w:val="left" w:pos="0"/>
        </w:tabs>
        <w:spacing w:line="240" w:lineRule="auto"/>
        <w:ind w:left="0" w:right="0" w:firstLine="567"/>
      </w:pPr>
      <w:r w:rsidRPr="003A7506">
        <w:t>Поточні зобов’язання на звітну дату відображено за сумою погашення.</w:t>
      </w:r>
    </w:p>
    <w:p w:rsidR="002A0906" w:rsidRPr="003A7506" w:rsidRDefault="002A0906" w:rsidP="00F37A5F">
      <w:pPr>
        <w:ind w:firstLine="567"/>
        <w:jc w:val="both"/>
        <w:rPr>
          <w:b/>
          <w:szCs w:val="24"/>
        </w:rPr>
      </w:pPr>
    </w:p>
    <w:p w:rsidR="005A440B" w:rsidRPr="003A7506" w:rsidRDefault="005A440B" w:rsidP="00F37A5F">
      <w:pPr>
        <w:ind w:firstLine="567"/>
        <w:jc w:val="both"/>
        <w:rPr>
          <w:b/>
          <w:szCs w:val="24"/>
        </w:rPr>
      </w:pPr>
      <w:r w:rsidRPr="003A7506">
        <w:rPr>
          <w:b/>
          <w:szCs w:val="24"/>
        </w:rPr>
        <w:t>7. Інше.</w:t>
      </w:r>
    </w:p>
    <w:p w:rsidR="005A440B" w:rsidRPr="003A7506" w:rsidRDefault="005A440B" w:rsidP="00F37A5F">
      <w:pPr>
        <w:ind w:firstLine="567"/>
        <w:jc w:val="both"/>
        <w:rPr>
          <w:szCs w:val="24"/>
        </w:rPr>
      </w:pPr>
      <w:r w:rsidRPr="003A7506">
        <w:rPr>
          <w:szCs w:val="24"/>
        </w:rPr>
        <w:t>Ми стверджуємо, що керівництво  визнає свою відповідальність за розробку, встановлення й підтримання системи внутрішнього контролю необхідну для запобігання та виявлення шахрайства</w:t>
      </w:r>
      <w:r w:rsidR="00642928" w:rsidRPr="003A7506">
        <w:rPr>
          <w:szCs w:val="24"/>
        </w:rPr>
        <w:t xml:space="preserve"> та помилок</w:t>
      </w:r>
      <w:r w:rsidRPr="003A7506">
        <w:rPr>
          <w:szCs w:val="24"/>
        </w:rPr>
        <w:t>.</w:t>
      </w:r>
    </w:p>
    <w:p w:rsidR="00AA145D" w:rsidRPr="003A7506" w:rsidRDefault="00AA145D" w:rsidP="00AA145D">
      <w:pPr>
        <w:tabs>
          <w:tab w:val="left" w:pos="567"/>
        </w:tabs>
        <w:ind w:firstLine="567"/>
        <w:contextualSpacing/>
        <w:jc w:val="both"/>
        <w:rPr>
          <w:szCs w:val="24"/>
        </w:rPr>
      </w:pPr>
      <w:r w:rsidRPr="003A7506">
        <w:rPr>
          <w:szCs w:val="24"/>
        </w:rPr>
        <w:t>Керівництво ломбарду несе відповідальність за нагляд за процесом фінансового звітування компанії.</w:t>
      </w:r>
    </w:p>
    <w:p w:rsidR="00AA145D" w:rsidRPr="003A7506" w:rsidRDefault="00AA145D" w:rsidP="00AA145D">
      <w:pPr>
        <w:ind w:firstLine="567"/>
        <w:contextualSpacing/>
        <w:jc w:val="both"/>
        <w:rPr>
          <w:rStyle w:val="FontStyle51"/>
          <w:sz w:val="24"/>
          <w:szCs w:val="24"/>
        </w:rPr>
      </w:pPr>
      <w:r w:rsidRPr="003A7506">
        <w:rPr>
          <w:szCs w:val="24"/>
        </w:rPr>
        <w:t>Керівництвом визнає свою відповідальність за складання фінансової звітності відповідно до застосовної концептуальної основи фінансової звітності, включаючи її достовірне подання.</w:t>
      </w:r>
    </w:p>
    <w:p w:rsidR="005A440B" w:rsidRDefault="005A440B" w:rsidP="00F37A5F">
      <w:pPr>
        <w:ind w:firstLine="567"/>
        <w:contextualSpacing/>
        <w:jc w:val="both"/>
        <w:rPr>
          <w:szCs w:val="24"/>
        </w:rPr>
      </w:pPr>
      <w:r w:rsidRPr="003A7506">
        <w:rPr>
          <w:szCs w:val="24"/>
        </w:rPr>
        <w:t xml:space="preserve">В ломбарді відсутні  суттєві судові справи, позови, умовні зобов'язання й умовні активи, тому ми не ідентифікуємо їх в розкриттях до фінансової звітності. </w:t>
      </w:r>
    </w:p>
    <w:p w:rsidR="00AA145D" w:rsidRPr="00887336" w:rsidRDefault="00AA145D" w:rsidP="00F37A5F">
      <w:pPr>
        <w:ind w:firstLine="567"/>
        <w:contextualSpacing/>
        <w:jc w:val="both"/>
        <w:rPr>
          <w:i/>
          <w:szCs w:val="24"/>
        </w:rPr>
      </w:pPr>
      <w:r w:rsidRPr="00887336">
        <w:rPr>
          <w:i/>
          <w:szCs w:val="24"/>
        </w:rPr>
        <w:t>Безперервність.</w:t>
      </w:r>
    </w:p>
    <w:p w:rsidR="00AA145D" w:rsidRPr="00887336" w:rsidRDefault="00AA145D" w:rsidP="00F37A5F">
      <w:pPr>
        <w:ind w:firstLine="567"/>
        <w:contextualSpacing/>
        <w:jc w:val="both"/>
        <w:rPr>
          <w:color w:val="000000"/>
          <w:szCs w:val="24"/>
          <w:shd w:val="clear" w:color="auto" w:fill="FFFFFF"/>
        </w:rPr>
      </w:pPr>
      <w:r w:rsidRPr="00887336">
        <w:rPr>
          <w:szCs w:val="24"/>
        </w:rPr>
        <w:t>Дана фінансова звітність складена виходячи з принципу безперервності функціонування товариства в майбутньому.</w:t>
      </w:r>
    </w:p>
    <w:p w:rsidR="00386423" w:rsidRPr="00887336" w:rsidRDefault="00386423" w:rsidP="00386423">
      <w:pPr>
        <w:ind w:firstLine="567"/>
        <w:contextualSpacing/>
        <w:jc w:val="both"/>
        <w:rPr>
          <w:rStyle w:val="FontStyle51"/>
          <w:sz w:val="24"/>
          <w:szCs w:val="24"/>
        </w:rPr>
      </w:pPr>
      <w:r w:rsidRPr="00887336">
        <w:rPr>
          <w:rStyle w:val="FontStyle51"/>
          <w:sz w:val="24"/>
          <w:szCs w:val="24"/>
        </w:rPr>
        <w:lastRenderedPageBreak/>
        <w:t xml:space="preserve">Виходячи з специфіки нашого бізнесу, а саме, надання коштів в позику, в нових економічних умовах пандемії корона вірусної інфекції, застосувавши жорстку політику економії та скорочення витрат, ми </w:t>
      </w:r>
      <w:r w:rsidR="00AA145D" w:rsidRPr="00887336">
        <w:rPr>
          <w:rStyle w:val="FontStyle51"/>
          <w:sz w:val="24"/>
          <w:szCs w:val="24"/>
        </w:rPr>
        <w:t>плануємо</w:t>
      </w:r>
      <w:r w:rsidRPr="00887336">
        <w:rPr>
          <w:rStyle w:val="FontStyle51"/>
          <w:sz w:val="24"/>
          <w:szCs w:val="24"/>
        </w:rPr>
        <w:t xml:space="preserve"> утримати досягнуті обсяги кредитування. </w:t>
      </w:r>
    </w:p>
    <w:p w:rsidR="005A440B" w:rsidRPr="00887336" w:rsidRDefault="005A440B" w:rsidP="00F37A5F">
      <w:pPr>
        <w:ind w:firstLine="567"/>
        <w:contextualSpacing/>
        <w:jc w:val="both"/>
        <w:rPr>
          <w:rStyle w:val="FontStyle51"/>
          <w:sz w:val="24"/>
          <w:szCs w:val="24"/>
        </w:rPr>
      </w:pPr>
      <w:r w:rsidRPr="00887336">
        <w:rPr>
          <w:color w:val="000000"/>
          <w:szCs w:val="24"/>
          <w:shd w:val="clear" w:color="auto" w:fill="FFFFFF"/>
        </w:rPr>
        <w:t xml:space="preserve">Ми маємо намір розвиватись, нарощувати обсяги кредитування, збільшувати кількість відділень. </w:t>
      </w:r>
      <w:r w:rsidRPr="00887336">
        <w:rPr>
          <w:rStyle w:val="FontStyle51"/>
          <w:sz w:val="24"/>
          <w:szCs w:val="24"/>
        </w:rPr>
        <w:t>Керівництво товариства вважає що не існує  невизначеності, що стосується безперервності діяльності, ми маємо намір працювати в осяжному майбутньому.</w:t>
      </w:r>
    </w:p>
    <w:p w:rsidR="005A440B" w:rsidRPr="00887336" w:rsidRDefault="005A440B" w:rsidP="00F37A5F">
      <w:pPr>
        <w:ind w:firstLine="567"/>
        <w:jc w:val="both"/>
        <w:rPr>
          <w:i/>
          <w:szCs w:val="24"/>
        </w:rPr>
      </w:pPr>
      <w:r w:rsidRPr="00887336">
        <w:rPr>
          <w:i/>
          <w:szCs w:val="24"/>
        </w:rPr>
        <w:t>Операції із пов’язаними сторонами</w:t>
      </w:r>
    </w:p>
    <w:p w:rsidR="00642928" w:rsidRPr="00887336" w:rsidRDefault="00655E8A" w:rsidP="00F37A5F">
      <w:pPr>
        <w:tabs>
          <w:tab w:val="left" w:pos="0"/>
        </w:tabs>
        <w:autoSpaceDE w:val="0"/>
        <w:autoSpaceDN w:val="0"/>
        <w:adjustRightInd w:val="0"/>
        <w:ind w:firstLine="540"/>
        <w:jc w:val="both"/>
        <w:rPr>
          <w:szCs w:val="24"/>
        </w:rPr>
      </w:pPr>
      <w:r w:rsidRPr="00887336">
        <w:rPr>
          <w:szCs w:val="24"/>
        </w:rPr>
        <w:t xml:space="preserve">Пов’язаними особами для Ломбарду є: засновники й  посадові особи Ломбарду та члени їхніх сімей; особи, які відповідно до законодавства України контролюють діяльність Ломбарду; юридичні особи, що контролюються </w:t>
      </w:r>
      <w:r w:rsidR="00DD6C76" w:rsidRPr="00887336">
        <w:rPr>
          <w:szCs w:val="24"/>
        </w:rPr>
        <w:t>Ломбардом</w:t>
      </w:r>
      <w:r w:rsidRPr="00887336">
        <w:rPr>
          <w:szCs w:val="24"/>
        </w:rPr>
        <w:t xml:space="preserve"> або разом з ним перебувають під контролем третьої особи</w:t>
      </w:r>
      <w:r w:rsidR="00DD6C76" w:rsidRPr="00887336">
        <w:rPr>
          <w:szCs w:val="24"/>
        </w:rPr>
        <w:t xml:space="preserve">. </w:t>
      </w:r>
    </w:p>
    <w:p w:rsidR="00DD6C76" w:rsidRPr="00887336" w:rsidRDefault="00DD6C76" w:rsidP="00F37A5F">
      <w:pPr>
        <w:tabs>
          <w:tab w:val="left" w:pos="0"/>
        </w:tabs>
        <w:autoSpaceDE w:val="0"/>
        <w:autoSpaceDN w:val="0"/>
        <w:adjustRightInd w:val="0"/>
        <w:ind w:firstLine="540"/>
        <w:jc w:val="both"/>
      </w:pPr>
      <w:r w:rsidRPr="00887336">
        <w:t>Протягом звітного року Ломбард мав операції з пов'язаними сторонами</w:t>
      </w:r>
      <w:r w:rsidR="007961BD" w:rsidRPr="00887336">
        <w:t>, а саме</w:t>
      </w:r>
      <w:r w:rsidRPr="00887336">
        <w:t xml:space="preserve">, </w:t>
      </w:r>
      <w:r w:rsidR="007961BD" w:rsidRPr="00887336">
        <w:t xml:space="preserve"> </w:t>
      </w:r>
      <w:r w:rsidR="00642928" w:rsidRPr="00887336">
        <w:t>виплачувалась заробітна плата згідно штатного розкладу посадовим особам, директору та головному бухгалтеру, та утримувались податки з заробітної плати.</w:t>
      </w:r>
      <w:r w:rsidRPr="00887336">
        <w:t xml:space="preserve"> </w:t>
      </w:r>
    </w:p>
    <w:p w:rsidR="005A440B" w:rsidRPr="00887336" w:rsidRDefault="005A440B" w:rsidP="00F37A5F">
      <w:pPr>
        <w:tabs>
          <w:tab w:val="left" w:pos="0"/>
        </w:tabs>
        <w:autoSpaceDE w:val="0"/>
        <w:autoSpaceDN w:val="0"/>
        <w:adjustRightInd w:val="0"/>
        <w:ind w:firstLine="567"/>
        <w:jc w:val="both"/>
      </w:pPr>
      <w:r w:rsidRPr="00887336">
        <w:rPr>
          <w:i/>
        </w:rPr>
        <w:t>Заробітна плата</w:t>
      </w:r>
      <w:r w:rsidRPr="00887336">
        <w:t>.</w:t>
      </w:r>
    </w:p>
    <w:p w:rsidR="00DD6C76" w:rsidRPr="00887336" w:rsidRDefault="005A440B" w:rsidP="00F37A5F">
      <w:pPr>
        <w:tabs>
          <w:tab w:val="left" w:pos="0"/>
        </w:tabs>
        <w:autoSpaceDE w:val="0"/>
        <w:autoSpaceDN w:val="0"/>
        <w:adjustRightInd w:val="0"/>
        <w:ind w:firstLine="540"/>
        <w:jc w:val="both"/>
      </w:pPr>
      <w:r w:rsidRPr="00887336">
        <w:t>Нарахування заробітної  плат</w:t>
      </w:r>
      <w:r w:rsidR="00A41D39" w:rsidRPr="00887336">
        <w:rPr>
          <w:lang w:val="ru-RU"/>
        </w:rPr>
        <w:t>и</w:t>
      </w:r>
      <w:r w:rsidRPr="00887336">
        <w:t xml:space="preserve"> персоналу Ломбарду протягом 201</w:t>
      </w:r>
      <w:r w:rsidR="001D7A19" w:rsidRPr="00887336">
        <w:t>9</w:t>
      </w:r>
      <w:r w:rsidRPr="00887336">
        <w:t xml:space="preserve"> року відбувалось відповідно до встановленої системи оплати праці. Компенсації та інші додаткові виплати керівництву Ломбарду, іншому управлінському персоналу не здійснювались. </w:t>
      </w:r>
      <w:r w:rsidR="000F5A41" w:rsidRPr="00887336">
        <w:t xml:space="preserve"> Пенсійними програмами товариство не користується. </w:t>
      </w:r>
      <w:r w:rsidR="00FE5C9B" w:rsidRPr="00887336">
        <w:t xml:space="preserve">Резерви забезпечення майбутніх витрат і платежів пов’язаних з оплатою праці </w:t>
      </w:r>
      <w:r w:rsidR="007961BD" w:rsidRPr="00887336">
        <w:t>не нараховувались.</w:t>
      </w:r>
    </w:p>
    <w:p w:rsidR="005A440B" w:rsidRPr="00887336" w:rsidRDefault="005A440B" w:rsidP="00F37A5F">
      <w:pPr>
        <w:tabs>
          <w:tab w:val="left" w:pos="0"/>
        </w:tabs>
        <w:autoSpaceDE w:val="0"/>
        <w:autoSpaceDN w:val="0"/>
        <w:adjustRightInd w:val="0"/>
        <w:ind w:firstLine="540"/>
        <w:jc w:val="both"/>
        <w:rPr>
          <w:i/>
        </w:rPr>
      </w:pPr>
      <w:r w:rsidRPr="00887336">
        <w:rPr>
          <w:i/>
        </w:rPr>
        <w:t>Події після дати балансу.</w:t>
      </w:r>
    </w:p>
    <w:p w:rsidR="005A440B" w:rsidRPr="00887336" w:rsidRDefault="005A440B" w:rsidP="00F37A5F">
      <w:pPr>
        <w:pStyle w:val="10"/>
        <w:spacing w:after="0" w:line="240" w:lineRule="auto"/>
        <w:ind w:left="0" w:firstLine="567"/>
        <w:jc w:val="both"/>
        <w:rPr>
          <w:rFonts w:ascii="Times New Roman" w:hAnsi="Times New Roman"/>
          <w:sz w:val="24"/>
          <w:szCs w:val="24"/>
        </w:rPr>
      </w:pPr>
      <w:r w:rsidRPr="00887336">
        <w:rPr>
          <w:rFonts w:ascii="Times New Roman" w:hAnsi="Times New Roman"/>
          <w:sz w:val="24"/>
          <w:szCs w:val="24"/>
        </w:rPr>
        <w:t xml:space="preserve">В період між датою балансу і </w:t>
      </w:r>
      <w:r w:rsidR="0032095D" w:rsidRPr="00887336">
        <w:rPr>
          <w:rFonts w:ascii="Times New Roman" w:hAnsi="Times New Roman"/>
          <w:sz w:val="24"/>
          <w:szCs w:val="24"/>
        </w:rPr>
        <w:t xml:space="preserve">остаточною </w:t>
      </w:r>
      <w:r w:rsidRPr="00887336">
        <w:rPr>
          <w:rFonts w:ascii="Times New Roman" w:hAnsi="Times New Roman"/>
          <w:sz w:val="24"/>
          <w:szCs w:val="24"/>
        </w:rPr>
        <w:t xml:space="preserve">датою затвердження фінансової звітності до випуску, не відбулось інших суттєвих подій, </w:t>
      </w:r>
      <w:r w:rsidR="0032095D" w:rsidRPr="00887336">
        <w:rPr>
          <w:rFonts w:ascii="Times New Roman" w:hAnsi="Times New Roman"/>
          <w:sz w:val="24"/>
          <w:szCs w:val="24"/>
        </w:rPr>
        <w:t xml:space="preserve">крім зазначених в Примітці 5, </w:t>
      </w:r>
      <w:r w:rsidRPr="00887336">
        <w:rPr>
          <w:rFonts w:ascii="Times New Roman" w:hAnsi="Times New Roman"/>
          <w:sz w:val="24"/>
          <w:szCs w:val="24"/>
        </w:rPr>
        <w:t>що потребують коригування активів та зобов’язань  Товариства та які могли б вплинути на економічні рішення користувачів чи потребують внесення змін до фінансової звітності.</w:t>
      </w:r>
    </w:p>
    <w:p w:rsidR="00387099" w:rsidRPr="00887336" w:rsidRDefault="00387099" w:rsidP="00E104D3">
      <w:pPr>
        <w:ind w:firstLine="567"/>
      </w:pPr>
    </w:p>
    <w:p w:rsidR="00F37A5F" w:rsidRPr="00887336" w:rsidRDefault="00F37A5F" w:rsidP="00E104D3">
      <w:pPr>
        <w:ind w:firstLine="567"/>
      </w:pPr>
    </w:p>
    <w:p w:rsidR="00AE5C26" w:rsidRPr="00887336" w:rsidRDefault="00AE5C26" w:rsidP="00E104D3">
      <w:pPr>
        <w:ind w:firstLine="567"/>
      </w:pPr>
      <w:r w:rsidRPr="00887336">
        <w:t>Директор</w:t>
      </w:r>
      <w:r w:rsidRPr="00887336">
        <w:tab/>
      </w:r>
      <w:r w:rsidRPr="00887336">
        <w:tab/>
      </w:r>
      <w:r w:rsidRPr="00887336">
        <w:tab/>
      </w:r>
      <w:r w:rsidRPr="00887336">
        <w:tab/>
      </w:r>
      <w:r w:rsidRPr="00887336">
        <w:tab/>
      </w:r>
      <w:r w:rsidRPr="00887336">
        <w:tab/>
      </w:r>
      <w:r w:rsidR="007961BD" w:rsidRPr="00887336">
        <w:t>Соколенко Н.О.</w:t>
      </w:r>
    </w:p>
    <w:p w:rsidR="00AE5C26" w:rsidRPr="00887336" w:rsidRDefault="00AE5C26" w:rsidP="00E104D3">
      <w:pPr>
        <w:ind w:firstLine="567"/>
      </w:pPr>
    </w:p>
    <w:p w:rsidR="00AE5C26" w:rsidRPr="00887336" w:rsidRDefault="00AE5C26" w:rsidP="00E104D3">
      <w:pPr>
        <w:ind w:firstLine="567"/>
      </w:pPr>
      <w:r w:rsidRPr="00887336">
        <w:t>Головний бухгалтер</w:t>
      </w:r>
      <w:r w:rsidRPr="00887336">
        <w:tab/>
      </w:r>
      <w:r w:rsidRPr="00887336">
        <w:tab/>
      </w:r>
      <w:r w:rsidRPr="00887336">
        <w:tab/>
      </w:r>
      <w:r w:rsidRPr="00887336">
        <w:tab/>
      </w:r>
      <w:r w:rsidRPr="00887336">
        <w:tab/>
      </w:r>
      <w:r w:rsidR="007961BD" w:rsidRPr="00887336">
        <w:t>Соколенко А.Л.</w:t>
      </w:r>
    </w:p>
    <w:p w:rsidR="000F5A41" w:rsidRPr="00887336" w:rsidRDefault="000F5A41" w:rsidP="00E104D3">
      <w:pPr>
        <w:ind w:firstLine="567"/>
      </w:pPr>
      <w:r w:rsidRPr="00887336">
        <w:t>МП</w:t>
      </w:r>
    </w:p>
    <w:p w:rsidR="0032095D" w:rsidRPr="00887336" w:rsidRDefault="0032095D" w:rsidP="00E104D3">
      <w:pPr>
        <w:ind w:firstLine="567"/>
      </w:pPr>
    </w:p>
    <w:p w:rsidR="0032095D" w:rsidRPr="004035A4" w:rsidRDefault="0032095D" w:rsidP="00E104D3">
      <w:pPr>
        <w:ind w:firstLine="567"/>
      </w:pPr>
      <w:r w:rsidRPr="00887336">
        <w:t>10 квітня 2020 року</w:t>
      </w:r>
    </w:p>
    <w:sectPr w:rsidR="0032095D" w:rsidRPr="004035A4" w:rsidSect="00F37A5F">
      <w:pgSz w:w="11906" w:h="16838"/>
      <w:pgMar w:top="709" w:right="8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D11" w:rsidRDefault="00984D11" w:rsidP="007B1B38">
      <w:r>
        <w:separator/>
      </w:r>
    </w:p>
  </w:endnote>
  <w:endnote w:type="continuationSeparator" w:id="1">
    <w:p w:rsidR="00984D11" w:rsidRDefault="00984D11" w:rsidP="007B1B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NTTimes/Cyrillic">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D11" w:rsidRDefault="00984D11" w:rsidP="007B1B38">
      <w:r>
        <w:separator/>
      </w:r>
    </w:p>
  </w:footnote>
  <w:footnote w:type="continuationSeparator" w:id="1">
    <w:p w:rsidR="00984D11" w:rsidRDefault="00984D11" w:rsidP="007B1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411"/>
    <w:multiLevelType w:val="multilevel"/>
    <w:tmpl w:val="65BA178E"/>
    <w:lvl w:ilvl="0">
      <w:start w:val="1"/>
      <w:numFmt w:val="decimal"/>
      <w:pStyle w:val="11"/>
      <w:suff w:val="nothing"/>
      <w:lvlText w:val=""/>
      <w:lvlJc w:val="left"/>
      <w:pPr>
        <w:tabs>
          <w:tab w:val="num" w:pos="0"/>
        </w:tabs>
        <w:suppressAutoHyphens/>
        <w:ind w:left="0" w:firstLine="0"/>
      </w:pPr>
    </w:lvl>
    <w:lvl w:ilvl="1">
      <w:start w:val="1"/>
      <w:numFmt w:val="decimal"/>
      <w:pStyle w:val="21"/>
      <w:suff w:val="nothing"/>
      <w:lvlText w:val=""/>
      <w:lvlJc w:val="left"/>
      <w:pPr>
        <w:tabs>
          <w:tab w:val="num" w:pos="0"/>
        </w:tabs>
        <w:suppressAutoHyphens/>
        <w:ind w:left="0" w:firstLine="0"/>
      </w:pPr>
    </w:lvl>
    <w:lvl w:ilvl="2">
      <w:start w:val="1"/>
      <w:numFmt w:val="decimal"/>
      <w:pStyle w:val="31"/>
      <w:suff w:val="nothing"/>
      <w:lvlText w:val=""/>
      <w:lvlJc w:val="left"/>
      <w:pPr>
        <w:tabs>
          <w:tab w:val="num" w:pos="0"/>
        </w:tabs>
        <w:suppressAutoHyphens/>
        <w:ind w:left="0" w:firstLine="0"/>
      </w:pPr>
    </w:lvl>
    <w:lvl w:ilvl="3">
      <w:numFmt w:val="none"/>
      <w:suff w:val="nothing"/>
      <w:lvlText w:val=""/>
      <w:lvlJc w:val="left"/>
      <w:pPr>
        <w:ind w:left="0"/>
      </w:pPr>
    </w:lvl>
    <w:lvl w:ilvl="4">
      <w:numFmt w:val="none"/>
      <w:suff w:val="nothing"/>
      <w:lvlText w:val=""/>
      <w:lvlJc w:val="left"/>
      <w:pPr>
        <w:ind w:left="0"/>
      </w:pPr>
    </w:lvl>
    <w:lvl w:ilvl="5">
      <w:numFmt w:val="none"/>
      <w:suff w:val="nothing"/>
      <w:lvlText w:val=""/>
      <w:lvlJc w:val="left"/>
      <w:pPr>
        <w:ind w:left="0"/>
      </w:pPr>
    </w:lvl>
    <w:lvl w:ilvl="6">
      <w:numFmt w:val="none"/>
      <w:suff w:val="nothing"/>
      <w:lvlText w:val=""/>
      <w:lvlJc w:val="left"/>
      <w:pPr>
        <w:ind w:left="0"/>
      </w:pPr>
    </w:lvl>
    <w:lvl w:ilvl="7">
      <w:numFmt w:val="none"/>
      <w:suff w:val="nothing"/>
      <w:lvlText w:val=""/>
      <w:lvlJc w:val="left"/>
      <w:pPr>
        <w:ind w:left="0"/>
      </w:pPr>
    </w:lvl>
    <w:lvl w:ilvl="8">
      <w:numFmt w:val="none"/>
      <w:suff w:val="nothing"/>
      <w:lvlText w:val=""/>
      <w:lvlJc w:val="left"/>
      <w:pPr>
        <w:ind w:left="0"/>
      </w:pPr>
    </w:lvl>
  </w:abstractNum>
  <w:abstractNum w:abstractNumId="1">
    <w:nsid w:val="0E4A4E02"/>
    <w:multiLevelType w:val="hybridMultilevel"/>
    <w:tmpl w:val="DA1848CE"/>
    <w:lvl w:ilvl="0">
      <w:start w:val="1"/>
      <w:numFmt w:val="bullet"/>
      <w:lvlText w:val=""/>
      <w:lvlJc w:val="left"/>
      <w:pPr>
        <w:ind w:left="1506" w:hanging="360"/>
      </w:pPr>
      <w:rPr>
        <w:rFonts w:ascii="Wingdings" w:hAnsi="Wingdings" w:hint="default"/>
      </w:rPr>
    </w:lvl>
    <w:lvl w:ilvl="1" w:tentative="1">
      <w:start w:val="1"/>
      <w:numFmt w:val="bullet"/>
      <w:lvlText w:val="o"/>
      <w:lvlJc w:val="left"/>
      <w:pPr>
        <w:ind w:left="2226" w:hanging="360"/>
      </w:pPr>
      <w:rPr>
        <w:rFonts w:ascii="Courier New" w:hAnsi="Courier New" w:cs="Courier New" w:hint="default"/>
      </w:rPr>
    </w:lvl>
    <w:lvl w:ilvl="2" w:tentative="1">
      <w:start w:val="1"/>
      <w:numFmt w:val="bullet"/>
      <w:lvlText w:val=""/>
      <w:lvlJc w:val="left"/>
      <w:pPr>
        <w:ind w:left="2946" w:hanging="360"/>
      </w:pPr>
      <w:rPr>
        <w:rFonts w:ascii="Wingdings" w:hAnsi="Wingdings" w:hint="default"/>
      </w:rPr>
    </w:lvl>
    <w:lvl w:ilvl="3" w:tentative="1">
      <w:start w:val="1"/>
      <w:numFmt w:val="bullet"/>
      <w:lvlText w:val=""/>
      <w:lvlJc w:val="left"/>
      <w:pPr>
        <w:ind w:left="3666" w:hanging="360"/>
      </w:pPr>
      <w:rPr>
        <w:rFonts w:ascii="Symbol" w:hAnsi="Symbol" w:hint="default"/>
      </w:rPr>
    </w:lvl>
    <w:lvl w:ilvl="4" w:tentative="1">
      <w:start w:val="1"/>
      <w:numFmt w:val="bullet"/>
      <w:lvlText w:val="o"/>
      <w:lvlJc w:val="left"/>
      <w:pPr>
        <w:ind w:left="4386" w:hanging="360"/>
      </w:pPr>
      <w:rPr>
        <w:rFonts w:ascii="Courier New" w:hAnsi="Courier New" w:cs="Courier New" w:hint="default"/>
      </w:rPr>
    </w:lvl>
    <w:lvl w:ilvl="5" w:tentative="1">
      <w:start w:val="1"/>
      <w:numFmt w:val="bullet"/>
      <w:lvlText w:val=""/>
      <w:lvlJc w:val="left"/>
      <w:pPr>
        <w:ind w:left="5106" w:hanging="360"/>
      </w:pPr>
      <w:rPr>
        <w:rFonts w:ascii="Wingdings" w:hAnsi="Wingdings" w:hint="default"/>
      </w:rPr>
    </w:lvl>
    <w:lvl w:ilvl="6" w:tentative="1">
      <w:start w:val="1"/>
      <w:numFmt w:val="bullet"/>
      <w:lvlText w:val=""/>
      <w:lvlJc w:val="left"/>
      <w:pPr>
        <w:ind w:left="5826" w:hanging="360"/>
      </w:pPr>
      <w:rPr>
        <w:rFonts w:ascii="Symbol" w:hAnsi="Symbol" w:hint="default"/>
      </w:rPr>
    </w:lvl>
    <w:lvl w:ilvl="7" w:tentative="1">
      <w:start w:val="1"/>
      <w:numFmt w:val="bullet"/>
      <w:lvlText w:val="o"/>
      <w:lvlJc w:val="left"/>
      <w:pPr>
        <w:ind w:left="6546" w:hanging="360"/>
      </w:pPr>
      <w:rPr>
        <w:rFonts w:ascii="Courier New" w:hAnsi="Courier New" w:cs="Courier New" w:hint="default"/>
      </w:rPr>
    </w:lvl>
    <w:lvl w:ilvl="8" w:tentative="1">
      <w:start w:val="1"/>
      <w:numFmt w:val="bullet"/>
      <w:lvlText w:val=""/>
      <w:lvlJc w:val="left"/>
      <w:pPr>
        <w:ind w:left="7266" w:hanging="360"/>
      </w:pPr>
      <w:rPr>
        <w:rFonts w:ascii="Wingdings" w:hAnsi="Wingdings" w:hint="default"/>
      </w:rPr>
    </w:lvl>
  </w:abstractNum>
  <w:abstractNum w:abstractNumId="2">
    <w:nsid w:val="12AA3BCE"/>
    <w:multiLevelType w:val="hybridMultilevel"/>
    <w:tmpl w:val="254A0E38"/>
    <w:lvl w:ilvl="0" w:tplc="04220005">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
    <w:nsid w:val="2C7C4726"/>
    <w:multiLevelType w:val="multilevel"/>
    <w:tmpl w:val="7C9AA20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E4CBB"/>
    <w:multiLevelType w:val="multilevel"/>
    <w:tmpl w:val="B63EE28A"/>
    <w:lvl w:ilvl="0">
      <w:start w:val="1"/>
      <w:numFmt w:val="decimal"/>
      <w:lvlText w:val="%1."/>
      <w:lvlJc w:val="left"/>
      <w:pPr>
        <w:ind w:left="1655" w:hanging="945"/>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4CEA62BD"/>
    <w:multiLevelType w:val="hybridMultilevel"/>
    <w:tmpl w:val="E020A90A"/>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2025443"/>
    <w:multiLevelType w:val="hybridMultilevel"/>
    <w:tmpl w:val="154443D2"/>
    <w:lvl w:ilvl="0" w:tplc="938039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5D7610"/>
    <w:multiLevelType w:val="hybridMultilevel"/>
    <w:tmpl w:val="D8304FCC"/>
    <w:lvl w:ilvl="0" w:tplc="04190001">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8">
    <w:nsid w:val="60057C30"/>
    <w:multiLevelType w:val="hybridMultilevel"/>
    <w:tmpl w:val="BA4EE692"/>
    <w:lvl w:ilvl="0" w:tplc="58E6F9D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51A7348"/>
    <w:multiLevelType w:val="multilevel"/>
    <w:tmpl w:val="9DB6EA3C"/>
    <w:lvl w:ilvl="0">
      <w:numFmt w:val="bullet"/>
      <w:lvlText w:val=""/>
      <w:lvlJc w:val="left"/>
      <w:pPr>
        <w:tabs>
          <w:tab w:val="num" w:pos="0"/>
        </w:tabs>
        <w:suppressAutoHyphens/>
        <w:ind w:left="0" w:firstLine="0"/>
      </w:pPr>
      <w:rPr>
        <w:rFonts w:ascii="Wingdings" w:hAnsi="Wingdings" w:hint="default"/>
        <w:sz w:val="22"/>
      </w:rPr>
    </w:lvl>
    <w:lvl w:ilvl="1">
      <w:numFmt w:val="bullet"/>
      <w:lvlText w:val="o"/>
      <w:lvlJc w:val="left"/>
      <w:pPr>
        <w:tabs>
          <w:tab w:val="num" w:pos="0"/>
        </w:tabs>
        <w:suppressAutoHyphens/>
        <w:ind w:left="0" w:firstLine="0"/>
      </w:pPr>
      <w:rPr>
        <w:rFonts w:ascii="Courier New" w:hAnsi="Courier New" w:cs="Courier New" w:hint="default"/>
        <w:sz w:val="24"/>
      </w:rPr>
    </w:lvl>
    <w:lvl w:ilvl="2">
      <w:numFmt w:val="bullet"/>
      <w:lvlText w:val=""/>
      <w:lvlJc w:val="left"/>
      <w:pPr>
        <w:tabs>
          <w:tab w:val="num" w:pos="0"/>
        </w:tabs>
        <w:suppressAutoHyphens/>
        <w:ind w:left="0" w:firstLine="0"/>
      </w:pPr>
      <w:rPr>
        <w:rFonts w:ascii="Wingdings" w:hAnsi="Wingdings" w:hint="default"/>
        <w:sz w:val="22"/>
      </w:rPr>
    </w:lvl>
    <w:lvl w:ilvl="3">
      <w:numFmt w:val="bullet"/>
      <w:lvlText w:val=""/>
      <w:lvlJc w:val="left"/>
      <w:pPr>
        <w:tabs>
          <w:tab w:val="num" w:pos="0"/>
        </w:tabs>
        <w:suppressAutoHyphens/>
        <w:ind w:left="0" w:firstLine="0"/>
      </w:pPr>
      <w:rPr>
        <w:rFonts w:ascii="Symbol" w:hAnsi="Symbol" w:hint="default"/>
        <w:sz w:val="22"/>
      </w:rPr>
    </w:lvl>
    <w:lvl w:ilvl="4">
      <w:numFmt w:val="bullet"/>
      <w:lvlText w:val="o"/>
      <w:lvlJc w:val="left"/>
      <w:pPr>
        <w:tabs>
          <w:tab w:val="num" w:pos="0"/>
        </w:tabs>
        <w:suppressAutoHyphens/>
        <w:ind w:left="0" w:firstLine="0"/>
      </w:pPr>
      <w:rPr>
        <w:rFonts w:ascii="Courier New" w:hAnsi="Courier New" w:cs="Courier New" w:hint="default"/>
        <w:sz w:val="24"/>
      </w:rPr>
    </w:lvl>
    <w:lvl w:ilvl="5">
      <w:numFmt w:val="bullet"/>
      <w:lvlText w:val=""/>
      <w:lvlJc w:val="left"/>
      <w:pPr>
        <w:tabs>
          <w:tab w:val="num" w:pos="0"/>
        </w:tabs>
        <w:suppressAutoHyphens/>
        <w:ind w:left="0" w:firstLine="0"/>
      </w:pPr>
      <w:rPr>
        <w:rFonts w:ascii="Wingdings" w:hAnsi="Wingdings" w:hint="default"/>
        <w:sz w:val="22"/>
      </w:rPr>
    </w:lvl>
    <w:lvl w:ilvl="6">
      <w:numFmt w:val="bullet"/>
      <w:lvlText w:val=""/>
      <w:lvlJc w:val="left"/>
      <w:pPr>
        <w:tabs>
          <w:tab w:val="num" w:pos="0"/>
        </w:tabs>
        <w:suppressAutoHyphens/>
        <w:ind w:left="0" w:firstLine="0"/>
      </w:pPr>
      <w:rPr>
        <w:rFonts w:ascii="Symbol" w:hAnsi="Symbol" w:hint="default"/>
        <w:sz w:val="22"/>
      </w:rPr>
    </w:lvl>
    <w:lvl w:ilvl="7">
      <w:numFmt w:val="bullet"/>
      <w:lvlText w:val="o"/>
      <w:lvlJc w:val="left"/>
      <w:pPr>
        <w:tabs>
          <w:tab w:val="num" w:pos="0"/>
        </w:tabs>
        <w:suppressAutoHyphens/>
        <w:ind w:left="0" w:firstLine="0"/>
      </w:pPr>
      <w:rPr>
        <w:rFonts w:ascii="Courier New" w:hAnsi="Courier New" w:cs="Courier New" w:hint="default"/>
        <w:sz w:val="24"/>
      </w:rPr>
    </w:lvl>
    <w:lvl w:ilvl="8">
      <w:numFmt w:val="bullet"/>
      <w:lvlText w:val=""/>
      <w:lvlJc w:val="left"/>
      <w:pPr>
        <w:tabs>
          <w:tab w:val="num" w:pos="0"/>
        </w:tabs>
        <w:suppressAutoHyphens/>
        <w:ind w:left="0" w:firstLine="0"/>
      </w:pPr>
      <w:rPr>
        <w:rFonts w:ascii="Wingdings" w:hAnsi="Wingdings" w:hint="default"/>
        <w:sz w:val="22"/>
      </w:rPr>
    </w:lvl>
  </w:abstractNum>
  <w:abstractNum w:abstractNumId="10">
    <w:nsid w:val="66190747"/>
    <w:multiLevelType w:val="hybridMultilevel"/>
    <w:tmpl w:val="DEE44EB0"/>
    <w:lvl w:ilvl="0">
      <w:start w:val="1"/>
      <w:numFmt w:val="bullet"/>
      <w:lvlText w:val=""/>
      <w:lvlJc w:val="left"/>
      <w:pPr>
        <w:ind w:left="972" w:hanging="360"/>
      </w:pPr>
      <w:rPr>
        <w:rFonts w:ascii="Wingdings" w:hAnsi="Wingdings" w:hint="default"/>
      </w:rPr>
    </w:lvl>
    <w:lvl w:ilvl="1" w:tentative="1">
      <w:start w:val="1"/>
      <w:numFmt w:val="bullet"/>
      <w:lvlText w:val="o"/>
      <w:lvlJc w:val="left"/>
      <w:pPr>
        <w:ind w:left="1692" w:hanging="360"/>
      </w:pPr>
      <w:rPr>
        <w:rFonts w:ascii="Courier New" w:hAnsi="Courier New" w:cs="Courier New" w:hint="default"/>
      </w:rPr>
    </w:lvl>
    <w:lvl w:ilvl="2" w:tentative="1">
      <w:start w:val="1"/>
      <w:numFmt w:val="bullet"/>
      <w:lvlText w:val=""/>
      <w:lvlJc w:val="left"/>
      <w:pPr>
        <w:ind w:left="2412" w:hanging="360"/>
      </w:pPr>
      <w:rPr>
        <w:rFonts w:ascii="Wingdings" w:hAnsi="Wingdings" w:hint="default"/>
      </w:rPr>
    </w:lvl>
    <w:lvl w:ilvl="3" w:tentative="1">
      <w:start w:val="1"/>
      <w:numFmt w:val="bullet"/>
      <w:lvlText w:val=""/>
      <w:lvlJc w:val="left"/>
      <w:pPr>
        <w:ind w:left="3132" w:hanging="360"/>
      </w:pPr>
      <w:rPr>
        <w:rFonts w:ascii="Symbol" w:hAnsi="Symbol" w:hint="default"/>
      </w:rPr>
    </w:lvl>
    <w:lvl w:ilvl="4" w:tentative="1">
      <w:start w:val="1"/>
      <w:numFmt w:val="bullet"/>
      <w:lvlText w:val="o"/>
      <w:lvlJc w:val="left"/>
      <w:pPr>
        <w:ind w:left="3852" w:hanging="360"/>
      </w:pPr>
      <w:rPr>
        <w:rFonts w:ascii="Courier New" w:hAnsi="Courier New" w:cs="Courier New" w:hint="default"/>
      </w:rPr>
    </w:lvl>
    <w:lvl w:ilvl="5" w:tentative="1">
      <w:start w:val="1"/>
      <w:numFmt w:val="bullet"/>
      <w:lvlText w:val=""/>
      <w:lvlJc w:val="left"/>
      <w:pPr>
        <w:ind w:left="4572" w:hanging="360"/>
      </w:pPr>
      <w:rPr>
        <w:rFonts w:ascii="Wingdings" w:hAnsi="Wingdings" w:hint="default"/>
      </w:rPr>
    </w:lvl>
    <w:lvl w:ilvl="6" w:tentative="1">
      <w:start w:val="1"/>
      <w:numFmt w:val="bullet"/>
      <w:lvlText w:val=""/>
      <w:lvlJc w:val="left"/>
      <w:pPr>
        <w:ind w:left="5292" w:hanging="360"/>
      </w:pPr>
      <w:rPr>
        <w:rFonts w:ascii="Symbol" w:hAnsi="Symbol" w:hint="default"/>
      </w:rPr>
    </w:lvl>
    <w:lvl w:ilvl="7" w:tentative="1">
      <w:start w:val="1"/>
      <w:numFmt w:val="bullet"/>
      <w:lvlText w:val="o"/>
      <w:lvlJc w:val="left"/>
      <w:pPr>
        <w:ind w:left="6012" w:hanging="360"/>
      </w:pPr>
      <w:rPr>
        <w:rFonts w:ascii="Courier New" w:hAnsi="Courier New" w:cs="Courier New" w:hint="default"/>
      </w:rPr>
    </w:lvl>
    <w:lvl w:ilvl="8" w:tentative="1">
      <w:start w:val="1"/>
      <w:numFmt w:val="bullet"/>
      <w:lvlText w:val=""/>
      <w:lvlJc w:val="left"/>
      <w:pPr>
        <w:ind w:left="6732" w:hanging="360"/>
      </w:pPr>
      <w:rPr>
        <w:rFonts w:ascii="Wingdings" w:hAnsi="Wingdings" w:hint="default"/>
      </w:rPr>
    </w:lvl>
  </w:abstractNum>
  <w:abstractNum w:abstractNumId="11">
    <w:nsid w:val="684148BC"/>
    <w:multiLevelType w:val="hybridMultilevel"/>
    <w:tmpl w:val="0AD4AF2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FB50D2"/>
    <w:multiLevelType w:val="hybridMultilevel"/>
    <w:tmpl w:val="C258493A"/>
    <w:lvl w:ilvl="0" w:tplc="04220005">
      <w:start w:val="1"/>
      <w:numFmt w:val="decimal"/>
      <w:lvlText w:val="%1."/>
      <w:lvlJc w:val="left"/>
      <w:pPr>
        <w:ind w:left="1069" w:hanging="360"/>
      </w:pPr>
      <w:rPr>
        <w:rFonts w:hint="default"/>
      </w:rPr>
    </w:lvl>
    <w:lvl w:ilvl="1" w:tplc="04220003" w:tentative="1">
      <w:start w:val="1"/>
      <w:numFmt w:val="lowerLetter"/>
      <w:lvlText w:val="%2."/>
      <w:lvlJc w:val="left"/>
      <w:pPr>
        <w:ind w:left="1789" w:hanging="360"/>
      </w:pPr>
    </w:lvl>
    <w:lvl w:ilvl="2" w:tplc="04220005" w:tentative="1">
      <w:start w:val="1"/>
      <w:numFmt w:val="lowerRoman"/>
      <w:lvlText w:val="%3."/>
      <w:lvlJc w:val="right"/>
      <w:pPr>
        <w:ind w:left="2509" w:hanging="180"/>
      </w:pPr>
    </w:lvl>
    <w:lvl w:ilvl="3" w:tplc="04220001" w:tentative="1">
      <w:start w:val="1"/>
      <w:numFmt w:val="decimal"/>
      <w:lvlText w:val="%4."/>
      <w:lvlJc w:val="left"/>
      <w:pPr>
        <w:ind w:left="3229" w:hanging="360"/>
      </w:pPr>
    </w:lvl>
    <w:lvl w:ilvl="4" w:tplc="04220003" w:tentative="1">
      <w:start w:val="1"/>
      <w:numFmt w:val="lowerLetter"/>
      <w:lvlText w:val="%5."/>
      <w:lvlJc w:val="left"/>
      <w:pPr>
        <w:ind w:left="3949" w:hanging="360"/>
      </w:pPr>
    </w:lvl>
    <w:lvl w:ilvl="5" w:tplc="04220005" w:tentative="1">
      <w:start w:val="1"/>
      <w:numFmt w:val="lowerRoman"/>
      <w:lvlText w:val="%6."/>
      <w:lvlJc w:val="right"/>
      <w:pPr>
        <w:ind w:left="4669" w:hanging="180"/>
      </w:pPr>
    </w:lvl>
    <w:lvl w:ilvl="6" w:tplc="04220001" w:tentative="1">
      <w:start w:val="1"/>
      <w:numFmt w:val="decimal"/>
      <w:lvlText w:val="%7."/>
      <w:lvlJc w:val="left"/>
      <w:pPr>
        <w:ind w:left="5389" w:hanging="360"/>
      </w:pPr>
    </w:lvl>
    <w:lvl w:ilvl="7" w:tplc="04220003" w:tentative="1">
      <w:start w:val="1"/>
      <w:numFmt w:val="lowerLetter"/>
      <w:lvlText w:val="%8."/>
      <w:lvlJc w:val="left"/>
      <w:pPr>
        <w:ind w:left="6109" w:hanging="360"/>
      </w:pPr>
    </w:lvl>
    <w:lvl w:ilvl="8" w:tplc="04220005" w:tentative="1">
      <w:start w:val="1"/>
      <w:numFmt w:val="lowerRoman"/>
      <w:lvlText w:val="%9."/>
      <w:lvlJc w:val="right"/>
      <w:pPr>
        <w:ind w:left="6829" w:hanging="180"/>
      </w:pPr>
    </w:lvl>
  </w:abstractNum>
  <w:abstractNum w:abstractNumId="14">
    <w:nsid w:val="704D150B"/>
    <w:multiLevelType w:val="hybridMultilevel"/>
    <w:tmpl w:val="0A6AEFD8"/>
    <w:lvl w:ilvl="0" w:tplc="6408F0A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71270"/>
    <w:multiLevelType w:val="hybridMultilevel"/>
    <w:tmpl w:val="5E4298E6"/>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CB6866"/>
    <w:multiLevelType w:val="multilevel"/>
    <w:tmpl w:val="B05EA360"/>
    <w:lvl w:ilvl="0">
      <w:start w:val="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78372CD8"/>
    <w:multiLevelType w:val="multilevel"/>
    <w:tmpl w:val="3D0C7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3B3187"/>
    <w:multiLevelType w:val="hybridMultilevel"/>
    <w:tmpl w:val="8E444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10"/>
  </w:num>
  <w:num w:numId="5">
    <w:abstractNumId w:val="1"/>
  </w:num>
  <w:num w:numId="6">
    <w:abstractNumId w:val="6"/>
  </w:num>
  <w:num w:numId="7">
    <w:abstractNumId w:val="0"/>
  </w:num>
  <w:num w:numId="8">
    <w:abstractNumId w:val="13"/>
  </w:num>
  <w:num w:numId="9">
    <w:abstractNumId w:val="14"/>
  </w:num>
  <w:num w:numId="10">
    <w:abstractNumId w:val="5"/>
  </w:num>
  <w:num w:numId="11">
    <w:abstractNumId w:val="3"/>
  </w:num>
  <w:num w:numId="12">
    <w:abstractNumId w:val="9"/>
  </w:num>
  <w:num w:numId="13">
    <w:abstractNumId w:val="18"/>
  </w:num>
  <w:num w:numId="14">
    <w:abstractNumId w:val="8"/>
  </w:num>
  <w:num w:numId="15">
    <w:abstractNumId w:val="15"/>
  </w:num>
  <w:num w:numId="16">
    <w:abstractNumId w:val="4"/>
  </w:num>
  <w:num w:numId="17">
    <w:abstractNumId w:val="17"/>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65B07"/>
    <w:rsid w:val="00010846"/>
    <w:rsid w:val="000347EB"/>
    <w:rsid w:val="00065B07"/>
    <w:rsid w:val="00070D6D"/>
    <w:rsid w:val="00075269"/>
    <w:rsid w:val="00085870"/>
    <w:rsid w:val="00085A99"/>
    <w:rsid w:val="000979B7"/>
    <w:rsid w:val="000A4C3D"/>
    <w:rsid w:val="000A73B4"/>
    <w:rsid w:val="000C1BEB"/>
    <w:rsid w:val="000E1DFA"/>
    <w:rsid w:val="000E6F58"/>
    <w:rsid w:val="000F5A41"/>
    <w:rsid w:val="00110168"/>
    <w:rsid w:val="00130A3A"/>
    <w:rsid w:val="001436EF"/>
    <w:rsid w:val="001458AF"/>
    <w:rsid w:val="00146C75"/>
    <w:rsid w:val="00173C06"/>
    <w:rsid w:val="00173FC0"/>
    <w:rsid w:val="001776E9"/>
    <w:rsid w:val="001820E0"/>
    <w:rsid w:val="00194363"/>
    <w:rsid w:val="001A7801"/>
    <w:rsid w:val="001B7705"/>
    <w:rsid w:val="001C46E9"/>
    <w:rsid w:val="001D5B89"/>
    <w:rsid w:val="001D7A19"/>
    <w:rsid w:val="001E4FB9"/>
    <w:rsid w:val="001F619C"/>
    <w:rsid w:val="00210419"/>
    <w:rsid w:val="00211AEB"/>
    <w:rsid w:val="00226199"/>
    <w:rsid w:val="002546D6"/>
    <w:rsid w:val="0026355B"/>
    <w:rsid w:val="0027796C"/>
    <w:rsid w:val="002A0906"/>
    <w:rsid w:val="002D7557"/>
    <w:rsid w:val="00306D47"/>
    <w:rsid w:val="0032095D"/>
    <w:rsid w:val="00331F19"/>
    <w:rsid w:val="00335DC6"/>
    <w:rsid w:val="00354B2C"/>
    <w:rsid w:val="00357C45"/>
    <w:rsid w:val="00385B24"/>
    <w:rsid w:val="00386423"/>
    <w:rsid w:val="00387099"/>
    <w:rsid w:val="003A7506"/>
    <w:rsid w:val="003D3837"/>
    <w:rsid w:val="003E0ABE"/>
    <w:rsid w:val="004035A4"/>
    <w:rsid w:val="00435889"/>
    <w:rsid w:val="0043703D"/>
    <w:rsid w:val="00466E60"/>
    <w:rsid w:val="004676A6"/>
    <w:rsid w:val="0049337B"/>
    <w:rsid w:val="004B117E"/>
    <w:rsid w:val="004B592F"/>
    <w:rsid w:val="004D7AFF"/>
    <w:rsid w:val="004E3CFC"/>
    <w:rsid w:val="004F38B2"/>
    <w:rsid w:val="00514432"/>
    <w:rsid w:val="00521EB6"/>
    <w:rsid w:val="00540581"/>
    <w:rsid w:val="00551448"/>
    <w:rsid w:val="005557B7"/>
    <w:rsid w:val="00557E45"/>
    <w:rsid w:val="00574D9A"/>
    <w:rsid w:val="005835C7"/>
    <w:rsid w:val="0059414E"/>
    <w:rsid w:val="005A440B"/>
    <w:rsid w:val="005B0BBD"/>
    <w:rsid w:val="005B2DDD"/>
    <w:rsid w:val="005D37CF"/>
    <w:rsid w:val="005E709E"/>
    <w:rsid w:val="0061533A"/>
    <w:rsid w:val="006202A5"/>
    <w:rsid w:val="00623339"/>
    <w:rsid w:val="00624213"/>
    <w:rsid w:val="00624B18"/>
    <w:rsid w:val="00642928"/>
    <w:rsid w:val="00655E8A"/>
    <w:rsid w:val="00664B3F"/>
    <w:rsid w:val="00674618"/>
    <w:rsid w:val="006809AB"/>
    <w:rsid w:val="00695168"/>
    <w:rsid w:val="006A51C9"/>
    <w:rsid w:val="006B69C4"/>
    <w:rsid w:val="006C204E"/>
    <w:rsid w:val="006E0A4E"/>
    <w:rsid w:val="006F698F"/>
    <w:rsid w:val="0071126E"/>
    <w:rsid w:val="00720D77"/>
    <w:rsid w:val="00753648"/>
    <w:rsid w:val="00776DE0"/>
    <w:rsid w:val="007961BD"/>
    <w:rsid w:val="007B1B38"/>
    <w:rsid w:val="007B478D"/>
    <w:rsid w:val="007C500A"/>
    <w:rsid w:val="007D6961"/>
    <w:rsid w:val="007E7EBF"/>
    <w:rsid w:val="00804CF3"/>
    <w:rsid w:val="00822A87"/>
    <w:rsid w:val="008403AB"/>
    <w:rsid w:val="008442A5"/>
    <w:rsid w:val="008446DA"/>
    <w:rsid w:val="0085022B"/>
    <w:rsid w:val="008602EA"/>
    <w:rsid w:val="00861CD3"/>
    <w:rsid w:val="00872302"/>
    <w:rsid w:val="00876B96"/>
    <w:rsid w:val="00887336"/>
    <w:rsid w:val="008B6880"/>
    <w:rsid w:val="008F4422"/>
    <w:rsid w:val="009174C7"/>
    <w:rsid w:val="00917712"/>
    <w:rsid w:val="00921800"/>
    <w:rsid w:val="009245E6"/>
    <w:rsid w:val="009550D6"/>
    <w:rsid w:val="0097036C"/>
    <w:rsid w:val="00972F5A"/>
    <w:rsid w:val="00974E33"/>
    <w:rsid w:val="00980EE8"/>
    <w:rsid w:val="00984D11"/>
    <w:rsid w:val="009D4E36"/>
    <w:rsid w:val="009D762D"/>
    <w:rsid w:val="009E033A"/>
    <w:rsid w:val="009F210E"/>
    <w:rsid w:val="009F3D5C"/>
    <w:rsid w:val="009F3EDC"/>
    <w:rsid w:val="009F458A"/>
    <w:rsid w:val="00A13263"/>
    <w:rsid w:val="00A41D39"/>
    <w:rsid w:val="00A50F0C"/>
    <w:rsid w:val="00A546ED"/>
    <w:rsid w:val="00A75B77"/>
    <w:rsid w:val="00A7760A"/>
    <w:rsid w:val="00A85166"/>
    <w:rsid w:val="00AA145D"/>
    <w:rsid w:val="00AA3125"/>
    <w:rsid w:val="00AA7664"/>
    <w:rsid w:val="00AB4B1D"/>
    <w:rsid w:val="00AB6F68"/>
    <w:rsid w:val="00AD526E"/>
    <w:rsid w:val="00AD5667"/>
    <w:rsid w:val="00AE5C26"/>
    <w:rsid w:val="00B1387A"/>
    <w:rsid w:val="00B225A7"/>
    <w:rsid w:val="00B26310"/>
    <w:rsid w:val="00B417FF"/>
    <w:rsid w:val="00B43920"/>
    <w:rsid w:val="00B54B0F"/>
    <w:rsid w:val="00B55B35"/>
    <w:rsid w:val="00B651CC"/>
    <w:rsid w:val="00B65E84"/>
    <w:rsid w:val="00B80387"/>
    <w:rsid w:val="00B81D5D"/>
    <w:rsid w:val="00B95E93"/>
    <w:rsid w:val="00BA5B01"/>
    <w:rsid w:val="00BD2B89"/>
    <w:rsid w:val="00BD54DB"/>
    <w:rsid w:val="00BF2F6E"/>
    <w:rsid w:val="00C01A09"/>
    <w:rsid w:val="00C3566D"/>
    <w:rsid w:val="00C64983"/>
    <w:rsid w:val="00C91E75"/>
    <w:rsid w:val="00CA652D"/>
    <w:rsid w:val="00CB052E"/>
    <w:rsid w:val="00CB3253"/>
    <w:rsid w:val="00CB641F"/>
    <w:rsid w:val="00CE4E0F"/>
    <w:rsid w:val="00CF016C"/>
    <w:rsid w:val="00CF61B3"/>
    <w:rsid w:val="00D0311A"/>
    <w:rsid w:val="00D03349"/>
    <w:rsid w:val="00D05114"/>
    <w:rsid w:val="00D06DB0"/>
    <w:rsid w:val="00D36270"/>
    <w:rsid w:val="00D668F7"/>
    <w:rsid w:val="00DA355A"/>
    <w:rsid w:val="00DB3472"/>
    <w:rsid w:val="00DC20CF"/>
    <w:rsid w:val="00DC2A23"/>
    <w:rsid w:val="00DC4CCD"/>
    <w:rsid w:val="00DD20D0"/>
    <w:rsid w:val="00DD2BC8"/>
    <w:rsid w:val="00DD6C76"/>
    <w:rsid w:val="00E104D3"/>
    <w:rsid w:val="00E16386"/>
    <w:rsid w:val="00E17EB6"/>
    <w:rsid w:val="00E473A5"/>
    <w:rsid w:val="00E542B6"/>
    <w:rsid w:val="00EC3AB8"/>
    <w:rsid w:val="00F22CCA"/>
    <w:rsid w:val="00F343B6"/>
    <w:rsid w:val="00F37A5F"/>
    <w:rsid w:val="00F40CE6"/>
    <w:rsid w:val="00F4300E"/>
    <w:rsid w:val="00F537CD"/>
    <w:rsid w:val="00F54249"/>
    <w:rsid w:val="00F7747D"/>
    <w:rsid w:val="00F77C6E"/>
    <w:rsid w:val="00F860AC"/>
    <w:rsid w:val="00F86468"/>
    <w:rsid w:val="00FB0545"/>
    <w:rsid w:val="00FB4491"/>
    <w:rsid w:val="00FC19CF"/>
    <w:rsid w:val="00FE5C9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68"/>
    <w:rPr>
      <w:sz w:val="24"/>
      <w:lang w:eastAsia="en-US"/>
    </w:rPr>
  </w:style>
  <w:style w:type="paragraph" w:styleId="1">
    <w:name w:val="heading 1"/>
    <w:basedOn w:val="a"/>
    <w:next w:val="a"/>
    <w:qFormat/>
    <w:rsid w:val="000347EB"/>
    <w:pPr>
      <w:keepNext/>
      <w:spacing w:before="240" w:after="60"/>
      <w:outlineLvl w:val="0"/>
    </w:pPr>
    <w:rPr>
      <w:rFonts w:ascii="Arial" w:hAnsi="Arial" w:cs="Arial"/>
      <w:b/>
      <w:bCs/>
      <w:kern w:val="32"/>
      <w:sz w:val="32"/>
      <w:szCs w:val="32"/>
    </w:rPr>
  </w:style>
  <w:style w:type="paragraph" w:styleId="2">
    <w:name w:val="heading 2"/>
    <w:basedOn w:val="1"/>
    <w:next w:val="a"/>
    <w:link w:val="20"/>
    <w:qFormat/>
    <w:rsid w:val="000347EB"/>
    <w:pPr>
      <w:numPr>
        <w:ilvl w:val="1"/>
      </w:numPr>
      <w:tabs>
        <w:tab w:val="num" w:pos="0"/>
      </w:tabs>
      <w:suppressAutoHyphens/>
      <w:spacing w:after="120"/>
      <w:ind w:left="1872" w:hanging="432"/>
      <w:outlineLvl w:val="1"/>
    </w:pPr>
    <w:rPr>
      <w:rFonts w:cs="Times New Roman"/>
      <w:bCs w:val="0"/>
      <w:kern w:val="0"/>
      <w:sz w:val="20"/>
      <w:szCs w:val="20"/>
      <w:lang w:eastAsia="ar-SA"/>
    </w:rPr>
  </w:style>
  <w:style w:type="paragraph" w:styleId="3">
    <w:name w:val="heading 3"/>
    <w:basedOn w:val="a"/>
    <w:next w:val="a"/>
    <w:link w:val="30"/>
    <w:uiPriority w:val="9"/>
    <w:unhideWhenUsed/>
    <w:qFormat/>
    <w:rsid w:val="001A7801"/>
    <w:pPr>
      <w:keepNext/>
      <w:spacing w:before="240" w:after="60" w:line="276" w:lineRule="auto"/>
      <w:outlineLvl w:val="2"/>
    </w:pPr>
    <w:rPr>
      <w:rFonts w:ascii="Calibri Light" w:eastAsia="Times New Roman" w:hAnsi="Calibri Light"/>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F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065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2214B"/>
      <w:sz w:val="20"/>
      <w:lang w:eastAsia="ru-RU"/>
    </w:rPr>
  </w:style>
  <w:style w:type="character" w:customStyle="1" w:styleId="HTML0">
    <w:name w:val="Стандартный HTML Знак"/>
    <w:basedOn w:val="a0"/>
    <w:link w:val="HTML"/>
    <w:rsid w:val="00065B07"/>
    <w:rPr>
      <w:rFonts w:ascii="Courier New" w:eastAsia="Times New Roman" w:hAnsi="Courier New" w:cs="Courier New"/>
      <w:color w:val="02214B"/>
      <w:sz w:val="20"/>
      <w:lang w:eastAsia="ru-RU"/>
    </w:rPr>
  </w:style>
  <w:style w:type="paragraph" w:styleId="a4">
    <w:name w:val="Body Text Indent"/>
    <w:basedOn w:val="a"/>
    <w:link w:val="a5"/>
    <w:rsid w:val="005D37CF"/>
    <w:pPr>
      <w:spacing w:after="120"/>
      <w:ind w:left="283"/>
    </w:pPr>
    <w:rPr>
      <w:rFonts w:eastAsia="Times New Roman"/>
      <w:sz w:val="20"/>
      <w:lang w:val="ru-RU" w:eastAsia="ru-RU"/>
    </w:rPr>
  </w:style>
  <w:style w:type="character" w:customStyle="1" w:styleId="a5">
    <w:name w:val="Основной текст с отступом Знак"/>
    <w:basedOn w:val="a0"/>
    <w:link w:val="a4"/>
    <w:rsid w:val="005D37CF"/>
    <w:rPr>
      <w:rFonts w:eastAsia="Times New Roman"/>
      <w:lang w:val="ru-RU" w:eastAsia="ru-RU"/>
    </w:rPr>
  </w:style>
  <w:style w:type="paragraph" w:customStyle="1" w:styleId="210">
    <w:name w:val="Основной текст 21"/>
    <w:basedOn w:val="a"/>
    <w:rsid w:val="00070D6D"/>
    <w:pPr>
      <w:suppressAutoHyphens/>
      <w:spacing w:before="120"/>
      <w:jc w:val="both"/>
    </w:pPr>
    <w:rPr>
      <w:rFonts w:ascii="NTTimes/Cyrillic" w:eastAsia="Times New Roman" w:hAnsi="NTTimes/Cyrillic"/>
      <w:lang w:eastAsia="ar-SA"/>
    </w:rPr>
  </w:style>
  <w:style w:type="paragraph" w:customStyle="1" w:styleId="NormalLeft063cm">
    <w:name w:val="Normal + Left:  0.63 cm"/>
    <w:basedOn w:val="210"/>
    <w:rsid w:val="00070D6D"/>
    <w:pPr>
      <w:spacing w:before="0"/>
      <w:ind w:left="360" w:right="-140"/>
      <w:jc w:val="left"/>
    </w:pPr>
    <w:rPr>
      <w:rFonts w:ascii="Times New Roman" w:hAnsi="Times New Roman"/>
      <w:sz w:val="22"/>
    </w:rPr>
  </w:style>
  <w:style w:type="character" w:customStyle="1" w:styleId="hps">
    <w:name w:val="hps"/>
    <w:basedOn w:val="a0"/>
    <w:rsid w:val="00AD5667"/>
  </w:style>
  <w:style w:type="paragraph" w:customStyle="1" w:styleId="a6">
    <w:name w:val="Содержимое таблицы"/>
    <w:basedOn w:val="a"/>
    <w:rsid w:val="00226199"/>
    <w:pPr>
      <w:suppressLineNumbers/>
      <w:suppressAutoHyphens/>
    </w:pPr>
    <w:rPr>
      <w:rFonts w:eastAsia="Times New Roman"/>
      <w:sz w:val="22"/>
      <w:lang w:val="en-US" w:eastAsia="ar-SA"/>
    </w:rPr>
  </w:style>
  <w:style w:type="paragraph" w:styleId="a7">
    <w:name w:val="Block Text"/>
    <w:basedOn w:val="a"/>
    <w:rsid w:val="00E104D3"/>
    <w:pPr>
      <w:spacing w:line="360" w:lineRule="auto"/>
      <w:ind w:left="-57" w:right="57" w:firstLine="680"/>
      <w:jc w:val="both"/>
    </w:pPr>
    <w:rPr>
      <w:rFonts w:eastAsia="Times New Roman"/>
      <w:szCs w:val="24"/>
      <w:lang w:eastAsia="ru-RU"/>
    </w:rPr>
  </w:style>
  <w:style w:type="paragraph" w:styleId="a8">
    <w:name w:val="header"/>
    <w:basedOn w:val="a"/>
    <w:link w:val="a9"/>
    <w:uiPriority w:val="99"/>
    <w:unhideWhenUsed/>
    <w:rsid w:val="007B1B38"/>
    <w:pPr>
      <w:tabs>
        <w:tab w:val="center" w:pos="4819"/>
        <w:tab w:val="right" w:pos="9639"/>
      </w:tabs>
    </w:pPr>
  </w:style>
  <w:style w:type="character" w:customStyle="1" w:styleId="a9">
    <w:name w:val="Верхний колонтитул Знак"/>
    <w:basedOn w:val="a0"/>
    <w:link w:val="a8"/>
    <w:uiPriority w:val="99"/>
    <w:rsid w:val="007B1B38"/>
    <w:rPr>
      <w:sz w:val="24"/>
      <w:lang w:eastAsia="en-US"/>
    </w:rPr>
  </w:style>
  <w:style w:type="paragraph" w:styleId="aa">
    <w:name w:val="footer"/>
    <w:basedOn w:val="a"/>
    <w:link w:val="ab"/>
    <w:unhideWhenUsed/>
    <w:rsid w:val="007B1B38"/>
    <w:pPr>
      <w:tabs>
        <w:tab w:val="center" w:pos="4819"/>
        <w:tab w:val="right" w:pos="9639"/>
      </w:tabs>
    </w:pPr>
  </w:style>
  <w:style w:type="character" w:customStyle="1" w:styleId="ab">
    <w:name w:val="Нижний колонтитул Знак"/>
    <w:basedOn w:val="a0"/>
    <w:link w:val="aa"/>
    <w:rsid w:val="007B1B38"/>
    <w:rPr>
      <w:sz w:val="24"/>
      <w:lang w:eastAsia="en-US"/>
    </w:rPr>
  </w:style>
  <w:style w:type="paragraph" w:styleId="ac">
    <w:name w:val="Revision"/>
    <w:hidden/>
    <w:uiPriority w:val="99"/>
    <w:semiHidden/>
    <w:rsid w:val="007B1B38"/>
    <w:rPr>
      <w:sz w:val="24"/>
      <w:lang w:eastAsia="en-US"/>
    </w:rPr>
  </w:style>
  <w:style w:type="paragraph" w:styleId="ad">
    <w:name w:val="Balloon Text"/>
    <w:basedOn w:val="a"/>
    <w:link w:val="ae"/>
    <w:uiPriority w:val="99"/>
    <w:semiHidden/>
    <w:unhideWhenUsed/>
    <w:rsid w:val="007B1B38"/>
    <w:rPr>
      <w:rFonts w:ascii="Tahoma" w:hAnsi="Tahoma" w:cs="Tahoma"/>
      <w:sz w:val="16"/>
      <w:szCs w:val="16"/>
    </w:rPr>
  </w:style>
  <w:style w:type="character" w:customStyle="1" w:styleId="ae">
    <w:name w:val="Текст выноски Знак"/>
    <w:basedOn w:val="a0"/>
    <w:link w:val="ad"/>
    <w:uiPriority w:val="99"/>
    <w:semiHidden/>
    <w:rsid w:val="007B1B38"/>
    <w:rPr>
      <w:rFonts w:ascii="Tahoma" w:hAnsi="Tahoma" w:cs="Tahoma"/>
      <w:sz w:val="16"/>
      <w:szCs w:val="16"/>
      <w:lang w:eastAsia="en-US"/>
    </w:rPr>
  </w:style>
  <w:style w:type="character" w:customStyle="1" w:styleId="20">
    <w:name w:val="Заголовок 2 Знак"/>
    <w:link w:val="2"/>
    <w:rsid w:val="000347EB"/>
    <w:rPr>
      <w:rFonts w:ascii="Arial" w:hAnsi="Arial"/>
      <w:b/>
      <w:lang w:eastAsia="ar-SA" w:bidi="ar-SA"/>
    </w:rPr>
  </w:style>
  <w:style w:type="paragraph" w:styleId="af">
    <w:name w:val="Normal (Web)"/>
    <w:basedOn w:val="a"/>
    <w:uiPriority w:val="99"/>
    <w:rsid w:val="00E16386"/>
    <w:pPr>
      <w:spacing w:before="100" w:beforeAutospacing="1" w:after="100" w:afterAutospacing="1"/>
    </w:pPr>
    <w:rPr>
      <w:rFonts w:eastAsia="Times New Roman"/>
      <w:szCs w:val="24"/>
      <w:lang w:val="ru-RU" w:eastAsia="ru-RU"/>
    </w:rPr>
  </w:style>
  <w:style w:type="character" w:styleId="af0">
    <w:name w:val="Hyperlink"/>
    <w:uiPriority w:val="99"/>
    <w:unhideWhenUsed/>
    <w:rsid w:val="00776DE0"/>
    <w:rPr>
      <w:color w:val="0000FF"/>
      <w:u w:val="single"/>
    </w:rPr>
  </w:style>
  <w:style w:type="character" w:customStyle="1" w:styleId="apple-converted-space">
    <w:name w:val="apple-converted-space"/>
    <w:basedOn w:val="a0"/>
    <w:rsid w:val="005A440B"/>
  </w:style>
  <w:style w:type="character" w:customStyle="1" w:styleId="FontStyle51">
    <w:name w:val="Font Style51"/>
    <w:basedOn w:val="a0"/>
    <w:uiPriority w:val="99"/>
    <w:rsid w:val="005A440B"/>
    <w:rPr>
      <w:rFonts w:ascii="Times New Roman" w:hAnsi="Times New Roman" w:cs="Times New Roman"/>
      <w:color w:val="000000"/>
      <w:sz w:val="26"/>
      <w:szCs w:val="26"/>
    </w:rPr>
  </w:style>
  <w:style w:type="character" w:styleId="af1">
    <w:name w:val="Strong"/>
    <w:uiPriority w:val="22"/>
    <w:qFormat/>
    <w:rsid w:val="005A440B"/>
    <w:rPr>
      <w:b/>
      <w:bCs/>
    </w:rPr>
  </w:style>
  <w:style w:type="paragraph" w:customStyle="1" w:styleId="10">
    <w:name w:val="Абзац списка1"/>
    <w:basedOn w:val="a"/>
    <w:rsid w:val="005A440B"/>
    <w:pPr>
      <w:spacing w:after="200" w:line="276" w:lineRule="auto"/>
      <w:ind w:left="720"/>
    </w:pPr>
    <w:rPr>
      <w:rFonts w:ascii="Calibri" w:hAnsi="Calibri"/>
      <w:sz w:val="22"/>
      <w:szCs w:val="22"/>
    </w:rPr>
  </w:style>
  <w:style w:type="character" w:customStyle="1" w:styleId="af2">
    <w:name w:val="Основной текст_"/>
    <w:link w:val="12"/>
    <w:rsid w:val="0043703D"/>
    <w:rPr>
      <w:shd w:val="clear" w:color="auto" w:fill="FFFFFF"/>
    </w:rPr>
  </w:style>
  <w:style w:type="paragraph" w:customStyle="1" w:styleId="12">
    <w:name w:val="Основной текст1"/>
    <w:basedOn w:val="a"/>
    <w:link w:val="af2"/>
    <w:qFormat/>
    <w:rsid w:val="0043703D"/>
    <w:pPr>
      <w:widowControl w:val="0"/>
      <w:shd w:val="clear" w:color="auto" w:fill="FFFFFF"/>
      <w:spacing w:before="540" w:after="180" w:line="278" w:lineRule="exact"/>
      <w:ind w:hanging="340"/>
    </w:pPr>
    <w:rPr>
      <w:sz w:val="20"/>
      <w:lang/>
    </w:rPr>
  </w:style>
  <w:style w:type="paragraph" w:customStyle="1" w:styleId="11">
    <w:name w:val="Заголовок 11"/>
    <w:basedOn w:val="Standard"/>
    <w:next w:val="Textbody"/>
    <w:qFormat/>
    <w:rsid w:val="0043703D"/>
    <w:pPr>
      <w:keepNext/>
      <w:keepLines/>
      <w:widowControl w:val="0"/>
      <w:numPr>
        <w:numId w:val="7"/>
      </w:numPr>
      <w:spacing w:before="480"/>
      <w:outlineLvl w:val="0"/>
    </w:pPr>
    <w:rPr>
      <w:rFonts w:ascii="Cambria" w:hAnsi="Cambria"/>
      <w:b/>
      <w:bCs/>
      <w:color w:val="365F91"/>
      <w:sz w:val="28"/>
      <w:szCs w:val="28"/>
    </w:rPr>
  </w:style>
  <w:style w:type="paragraph" w:customStyle="1" w:styleId="21">
    <w:name w:val="Заголовок 21"/>
    <w:basedOn w:val="Standard"/>
    <w:next w:val="Textbody"/>
    <w:qFormat/>
    <w:rsid w:val="0043703D"/>
    <w:pPr>
      <w:keepNext/>
      <w:keepLines/>
      <w:widowControl w:val="0"/>
      <w:numPr>
        <w:ilvl w:val="1"/>
        <w:numId w:val="7"/>
      </w:numPr>
      <w:spacing w:before="200"/>
      <w:outlineLvl w:val="1"/>
    </w:pPr>
    <w:rPr>
      <w:rFonts w:ascii="Cambria" w:hAnsi="Cambria"/>
      <w:b/>
      <w:bCs/>
      <w:color w:val="4F81BD"/>
      <w:sz w:val="26"/>
      <w:szCs w:val="26"/>
      <w:lang w:val="ru-RU" w:eastAsia="ru-RU"/>
    </w:rPr>
  </w:style>
  <w:style w:type="paragraph" w:customStyle="1" w:styleId="31">
    <w:name w:val="Заголовок 31"/>
    <w:basedOn w:val="Standard"/>
    <w:next w:val="Textbody"/>
    <w:qFormat/>
    <w:rsid w:val="0043703D"/>
    <w:pPr>
      <w:keepNext/>
      <w:keepLines/>
      <w:widowControl w:val="0"/>
      <w:numPr>
        <w:ilvl w:val="2"/>
        <w:numId w:val="7"/>
      </w:numPr>
      <w:spacing w:before="200"/>
      <w:outlineLvl w:val="2"/>
    </w:pPr>
    <w:rPr>
      <w:rFonts w:ascii="Cambria" w:hAnsi="Cambria"/>
      <w:b/>
      <w:bCs/>
      <w:color w:val="4F81BD"/>
      <w:sz w:val="22"/>
      <w:szCs w:val="22"/>
      <w:lang w:val="ru-RU" w:eastAsia="ru-RU"/>
    </w:rPr>
  </w:style>
  <w:style w:type="paragraph" w:customStyle="1" w:styleId="13">
    <w:name w:val="Обычный1"/>
    <w:qFormat/>
    <w:rsid w:val="0043703D"/>
    <w:pPr>
      <w:widowControl w:val="0"/>
      <w:suppressAutoHyphens/>
    </w:pPr>
    <w:rPr>
      <w:rFonts w:ascii="Calibri" w:eastAsia="SimSun" w:hAnsi="Calibri" w:cs="Tahoma"/>
      <w:kern w:val="16"/>
      <w:sz w:val="22"/>
      <w:szCs w:val="22"/>
      <w:lang w:val="ru-RU" w:eastAsia="en-US"/>
    </w:rPr>
  </w:style>
  <w:style w:type="character" w:customStyle="1" w:styleId="14">
    <w:name w:val="Основной шрифт абзаца1"/>
    <w:qFormat/>
    <w:rsid w:val="0043703D"/>
  </w:style>
  <w:style w:type="paragraph" w:customStyle="1" w:styleId="Standard">
    <w:name w:val="Standard"/>
    <w:qFormat/>
    <w:rsid w:val="0043703D"/>
    <w:pPr>
      <w:suppressAutoHyphens/>
    </w:pPr>
    <w:rPr>
      <w:rFonts w:ascii="Courier New" w:eastAsia="Courier New" w:hAnsi="Courier New" w:cs="Courier New"/>
      <w:color w:val="000000"/>
      <w:kern w:val="16"/>
      <w:sz w:val="24"/>
      <w:szCs w:val="24"/>
    </w:rPr>
  </w:style>
  <w:style w:type="paragraph" w:customStyle="1" w:styleId="Textbody">
    <w:name w:val="Text body"/>
    <w:basedOn w:val="Standard"/>
    <w:qFormat/>
    <w:rsid w:val="0043703D"/>
    <w:pPr>
      <w:widowControl w:val="0"/>
      <w:shd w:val="clear" w:color="auto" w:fill="FFFFFF"/>
      <w:spacing w:line="297" w:lineRule="exact"/>
      <w:ind w:hanging="620"/>
      <w:jc w:val="both"/>
    </w:pPr>
    <w:rPr>
      <w:rFonts w:ascii="Times New Roman" w:hAnsi="Times New Roman" w:cs="Times New Roman"/>
      <w:color w:val="00000A"/>
      <w:sz w:val="23"/>
      <w:szCs w:val="23"/>
      <w:lang w:val="ru-RU" w:eastAsia="en-US"/>
    </w:rPr>
  </w:style>
  <w:style w:type="paragraph" w:customStyle="1" w:styleId="15">
    <w:name w:val="Название1"/>
    <w:basedOn w:val="Standard"/>
    <w:next w:val="a"/>
    <w:qFormat/>
    <w:rsid w:val="0043703D"/>
    <w:pPr>
      <w:widowControl w:val="0"/>
      <w:jc w:val="center"/>
    </w:pPr>
    <w:rPr>
      <w:rFonts w:ascii="Times New Roman" w:eastAsia="Times New Roman" w:hAnsi="Times New Roman" w:cs="Times New Roman"/>
      <w:b/>
      <w:bCs/>
      <w:color w:val="00000A"/>
      <w:sz w:val="32"/>
      <w:szCs w:val="36"/>
      <w:lang w:val="ru-RU" w:eastAsia="ru-RU"/>
    </w:rPr>
  </w:style>
  <w:style w:type="paragraph" w:customStyle="1" w:styleId="211">
    <w:name w:val="Основной текст (2)1"/>
    <w:basedOn w:val="Standard"/>
    <w:qFormat/>
    <w:rsid w:val="0043703D"/>
    <w:pPr>
      <w:widowControl w:val="0"/>
      <w:shd w:val="clear" w:color="auto" w:fill="FFFFFF"/>
      <w:spacing w:line="297" w:lineRule="exact"/>
      <w:ind w:hanging="600"/>
    </w:pPr>
    <w:rPr>
      <w:rFonts w:ascii="Times New Roman" w:hAnsi="Times New Roman" w:cs="Times New Roman"/>
      <w:b/>
      <w:bCs/>
      <w:i/>
      <w:iCs/>
      <w:color w:val="00000A"/>
      <w:sz w:val="23"/>
      <w:szCs w:val="23"/>
      <w:lang w:val="ru-RU" w:eastAsia="en-US"/>
    </w:rPr>
  </w:style>
  <w:style w:type="character" w:customStyle="1" w:styleId="212pt1">
    <w:name w:val="Основной текст (2) + 12 pt1"/>
    <w:basedOn w:val="a0"/>
    <w:qFormat/>
    <w:rsid w:val="0043703D"/>
    <w:rPr>
      <w:rFonts w:ascii="Times New Roman" w:hAnsi="Times New Roman" w:cs="Times New Roman"/>
      <w:b/>
      <w:bCs/>
      <w:i/>
      <w:iCs/>
      <w:sz w:val="24"/>
      <w:szCs w:val="24"/>
    </w:rPr>
  </w:style>
  <w:style w:type="paragraph" w:styleId="16">
    <w:name w:val="toc 1"/>
    <w:basedOn w:val="13"/>
    <w:autoRedefine/>
    <w:semiHidden/>
    <w:rsid w:val="0043703D"/>
    <w:pPr>
      <w:widowControl/>
      <w:tabs>
        <w:tab w:val="right" w:leader="dot" w:pos="9356"/>
      </w:tabs>
      <w:suppressAutoHyphens w:val="0"/>
      <w:autoSpaceDN w:val="0"/>
      <w:spacing w:before="120" w:after="120"/>
      <w:ind w:firstLine="567"/>
      <w:jc w:val="both"/>
    </w:pPr>
  </w:style>
  <w:style w:type="paragraph" w:customStyle="1" w:styleId="af3">
    <w:name w:val="ДинТекстОбыч"/>
    <w:basedOn w:val="Standard"/>
    <w:qFormat/>
    <w:rsid w:val="00130A3A"/>
    <w:pPr>
      <w:widowControl w:val="0"/>
      <w:ind w:firstLine="567"/>
      <w:jc w:val="both"/>
    </w:pPr>
    <w:rPr>
      <w:rFonts w:ascii="Times New Roman" w:eastAsia="Times New Roman" w:hAnsi="Times New Roman" w:cs="Times New Roman"/>
      <w:sz w:val="22"/>
      <w:szCs w:val="20"/>
      <w:lang w:eastAsia="ru-RU"/>
    </w:rPr>
  </w:style>
  <w:style w:type="paragraph" w:styleId="af4">
    <w:name w:val="List Paragraph"/>
    <w:basedOn w:val="a"/>
    <w:uiPriority w:val="34"/>
    <w:qFormat/>
    <w:rsid w:val="00540581"/>
    <w:pPr>
      <w:spacing w:after="200" w:line="276" w:lineRule="auto"/>
      <w:ind w:left="720"/>
      <w:contextualSpacing/>
    </w:pPr>
    <w:rPr>
      <w:rFonts w:ascii="Calibri" w:hAnsi="Calibri"/>
      <w:sz w:val="22"/>
      <w:szCs w:val="22"/>
      <w:lang w:val="ru-RU"/>
    </w:rPr>
  </w:style>
  <w:style w:type="character" w:customStyle="1" w:styleId="FontStyle20">
    <w:name w:val="Font Style20"/>
    <w:uiPriority w:val="99"/>
    <w:rsid w:val="00FB4491"/>
    <w:rPr>
      <w:rFonts w:ascii="Times New Roman" w:hAnsi="Times New Roman"/>
      <w:sz w:val="22"/>
    </w:rPr>
  </w:style>
  <w:style w:type="paragraph" w:customStyle="1" w:styleId="Default">
    <w:name w:val="Default"/>
    <w:uiPriority w:val="99"/>
    <w:rsid w:val="00FB4491"/>
    <w:pPr>
      <w:autoSpaceDE w:val="0"/>
      <w:autoSpaceDN w:val="0"/>
      <w:adjustRightInd w:val="0"/>
    </w:pPr>
    <w:rPr>
      <w:rFonts w:eastAsia="Times New Roman"/>
      <w:color w:val="000000"/>
      <w:sz w:val="24"/>
      <w:szCs w:val="24"/>
      <w:lang w:val="ru-RU" w:eastAsia="ru-RU"/>
    </w:rPr>
  </w:style>
  <w:style w:type="paragraph" w:customStyle="1" w:styleId="ABC-paragrahinNotes">
    <w:name w:val="ABC - paragrah in Notes"/>
    <w:link w:val="ABC-paragrahinNotesChar"/>
    <w:uiPriority w:val="99"/>
    <w:rsid w:val="004D7AFF"/>
    <w:pPr>
      <w:spacing w:after="240"/>
      <w:jc w:val="both"/>
    </w:pPr>
    <w:rPr>
      <w:rFonts w:ascii="Arial" w:eastAsia="Times New Roman" w:hAnsi="Arial"/>
      <w:lang w:val="en-GB"/>
    </w:rPr>
  </w:style>
  <w:style w:type="character" w:customStyle="1" w:styleId="ABC-paragrahinNotesChar">
    <w:name w:val="ABC - paragrah in Notes Char"/>
    <w:link w:val="ABC-paragrahinNotes"/>
    <w:uiPriority w:val="99"/>
    <w:locked/>
    <w:rsid w:val="004D7AFF"/>
    <w:rPr>
      <w:rFonts w:ascii="Arial" w:eastAsia="Times New Roman" w:hAnsi="Arial"/>
      <w:lang w:val="en-GB" w:eastAsia="uk-UA" w:bidi="ar-SA"/>
    </w:rPr>
  </w:style>
  <w:style w:type="character" w:customStyle="1" w:styleId="30">
    <w:name w:val="Заголовок 3 Знак"/>
    <w:basedOn w:val="a0"/>
    <w:link w:val="3"/>
    <w:uiPriority w:val="9"/>
    <w:rsid w:val="001A7801"/>
    <w:rPr>
      <w:rFonts w:ascii="Calibri Light" w:eastAsia="Times New Roman" w:hAnsi="Calibri Light"/>
      <w:b/>
      <w:bCs/>
      <w:sz w:val="26"/>
      <w:szCs w:val="26"/>
      <w:lang w:eastAsia="en-US"/>
    </w:rPr>
  </w:style>
  <w:style w:type="paragraph" w:customStyle="1" w:styleId="41">
    <w:name w:val="Заголовок 41"/>
    <w:basedOn w:val="13"/>
    <w:next w:val="13"/>
    <w:qFormat/>
    <w:rsid w:val="00B80387"/>
    <w:pPr>
      <w:keepNext/>
      <w:keepLines/>
      <w:tabs>
        <w:tab w:val="num" w:pos="0"/>
      </w:tabs>
      <w:spacing w:before="200" w:line="276" w:lineRule="auto"/>
      <w:outlineLvl w:val="3"/>
    </w:pPr>
    <w:rPr>
      <w:rFonts w:ascii="Cambria" w:eastAsia="Times New Roman" w:hAnsi="Cambria" w:cs="Times New Roman"/>
      <w:b/>
      <w:bCs/>
      <w:i/>
      <w:iCs/>
      <w:color w:val="4F81BD"/>
    </w:rPr>
  </w:style>
  <w:style w:type="paragraph" w:customStyle="1" w:styleId="51">
    <w:name w:val="Заголовок 51"/>
    <w:basedOn w:val="13"/>
    <w:next w:val="13"/>
    <w:qFormat/>
    <w:rsid w:val="00B80387"/>
    <w:pPr>
      <w:keepNext/>
      <w:keepLines/>
      <w:tabs>
        <w:tab w:val="num" w:pos="0"/>
      </w:tabs>
      <w:spacing w:before="200" w:line="276" w:lineRule="auto"/>
      <w:outlineLvl w:val="4"/>
    </w:pPr>
    <w:rPr>
      <w:rFonts w:ascii="Cambria" w:eastAsia="Times New Roman" w:hAnsi="Cambria" w:cs="Times New Roman"/>
      <w:color w:val="243F60"/>
    </w:rPr>
  </w:style>
  <w:style w:type="paragraph" w:customStyle="1" w:styleId="61">
    <w:name w:val="Заголовок 61"/>
    <w:basedOn w:val="13"/>
    <w:next w:val="13"/>
    <w:qFormat/>
    <w:rsid w:val="00B80387"/>
    <w:pPr>
      <w:keepNext/>
      <w:keepLines/>
      <w:tabs>
        <w:tab w:val="num" w:pos="0"/>
      </w:tabs>
      <w:spacing w:before="200" w:line="276" w:lineRule="auto"/>
      <w:outlineLvl w:val="5"/>
    </w:pPr>
    <w:rPr>
      <w:rFonts w:ascii="Cambria" w:eastAsia="Times New Roman" w:hAnsi="Cambria" w:cs="Times New Roman"/>
      <w:i/>
      <w:iCs/>
      <w:color w:val="243F60"/>
    </w:rPr>
  </w:style>
  <w:style w:type="paragraph" w:customStyle="1" w:styleId="71">
    <w:name w:val="Заголовок 71"/>
    <w:basedOn w:val="13"/>
    <w:next w:val="13"/>
    <w:qFormat/>
    <w:rsid w:val="00B80387"/>
    <w:pPr>
      <w:keepNext/>
      <w:keepLines/>
      <w:tabs>
        <w:tab w:val="num" w:pos="0"/>
      </w:tabs>
      <w:spacing w:before="200" w:line="276" w:lineRule="auto"/>
      <w:outlineLvl w:val="6"/>
    </w:pPr>
    <w:rPr>
      <w:rFonts w:ascii="Cambria" w:eastAsia="Times New Roman" w:hAnsi="Cambria" w:cs="Times New Roman"/>
      <w:i/>
      <w:iCs/>
      <w:color w:val="404040"/>
    </w:rPr>
  </w:style>
  <w:style w:type="paragraph" w:customStyle="1" w:styleId="81">
    <w:name w:val="Заголовок 81"/>
    <w:basedOn w:val="13"/>
    <w:next w:val="13"/>
    <w:qFormat/>
    <w:rsid w:val="00B80387"/>
    <w:pPr>
      <w:keepNext/>
      <w:keepLines/>
      <w:tabs>
        <w:tab w:val="num" w:pos="0"/>
      </w:tabs>
      <w:spacing w:before="200" w:line="276" w:lineRule="auto"/>
      <w:outlineLvl w:val="7"/>
    </w:pPr>
    <w:rPr>
      <w:rFonts w:ascii="Cambria" w:eastAsia="Times New Roman" w:hAnsi="Cambria" w:cs="Times New Roman"/>
      <w:color w:val="404040"/>
      <w:sz w:val="20"/>
      <w:szCs w:val="20"/>
    </w:rPr>
  </w:style>
  <w:style w:type="paragraph" w:customStyle="1" w:styleId="91">
    <w:name w:val="Заголовок 91"/>
    <w:basedOn w:val="13"/>
    <w:next w:val="13"/>
    <w:qFormat/>
    <w:rsid w:val="00B80387"/>
    <w:pPr>
      <w:keepNext/>
      <w:keepLines/>
      <w:tabs>
        <w:tab w:val="num" w:pos="0"/>
      </w:tabs>
      <w:spacing w:before="200" w:line="276" w:lineRule="auto"/>
      <w:outlineLvl w:val="8"/>
    </w:pPr>
    <w:rPr>
      <w:rFonts w:ascii="Cambria" w:eastAsia="Times New Roman" w:hAnsi="Cambria" w:cs="Times New Roman"/>
      <w:i/>
      <w:iCs/>
      <w:color w:val="404040"/>
      <w:sz w:val="20"/>
      <w:szCs w:val="20"/>
    </w:rPr>
  </w:style>
</w:styles>
</file>

<file path=word/webSettings.xml><?xml version="1.0" encoding="utf-8"?>
<w:webSettings xmlns:r="http://schemas.openxmlformats.org/officeDocument/2006/relationships" xmlns:w="http://schemas.openxmlformats.org/wordprocessingml/2006/main">
  <w:divs>
    <w:div w:id="102530790">
      <w:bodyDiv w:val="1"/>
      <w:marLeft w:val="0"/>
      <w:marRight w:val="0"/>
      <w:marTop w:val="0"/>
      <w:marBottom w:val="0"/>
      <w:divBdr>
        <w:top w:val="none" w:sz="0" w:space="0" w:color="auto"/>
        <w:left w:val="none" w:sz="0" w:space="0" w:color="auto"/>
        <w:bottom w:val="none" w:sz="0" w:space="0" w:color="auto"/>
        <w:right w:val="none" w:sz="0" w:space="0" w:color="auto"/>
      </w:divBdr>
    </w:div>
    <w:div w:id="244456815">
      <w:bodyDiv w:val="1"/>
      <w:marLeft w:val="0"/>
      <w:marRight w:val="0"/>
      <w:marTop w:val="0"/>
      <w:marBottom w:val="0"/>
      <w:divBdr>
        <w:top w:val="none" w:sz="0" w:space="0" w:color="auto"/>
        <w:left w:val="none" w:sz="0" w:space="0" w:color="auto"/>
        <w:bottom w:val="none" w:sz="0" w:space="0" w:color="auto"/>
        <w:right w:val="none" w:sz="0" w:space="0" w:color="auto"/>
      </w:divBdr>
    </w:div>
    <w:div w:id="262346882">
      <w:bodyDiv w:val="1"/>
      <w:marLeft w:val="0"/>
      <w:marRight w:val="0"/>
      <w:marTop w:val="0"/>
      <w:marBottom w:val="0"/>
      <w:divBdr>
        <w:top w:val="none" w:sz="0" w:space="0" w:color="auto"/>
        <w:left w:val="none" w:sz="0" w:space="0" w:color="auto"/>
        <w:bottom w:val="none" w:sz="0" w:space="0" w:color="auto"/>
        <w:right w:val="none" w:sz="0" w:space="0" w:color="auto"/>
      </w:divBdr>
    </w:div>
    <w:div w:id="275791323">
      <w:bodyDiv w:val="1"/>
      <w:marLeft w:val="0"/>
      <w:marRight w:val="0"/>
      <w:marTop w:val="0"/>
      <w:marBottom w:val="0"/>
      <w:divBdr>
        <w:top w:val="none" w:sz="0" w:space="0" w:color="auto"/>
        <w:left w:val="none" w:sz="0" w:space="0" w:color="auto"/>
        <w:bottom w:val="none" w:sz="0" w:space="0" w:color="auto"/>
        <w:right w:val="none" w:sz="0" w:space="0" w:color="auto"/>
      </w:divBdr>
    </w:div>
    <w:div w:id="703944532">
      <w:bodyDiv w:val="1"/>
      <w:marLeft w:val="0"/>
      <w:marRight w:val="0"/>
      <w:marTop w:val="0"/>
      <w:marBottom w:val="0"/>
      <w:divBdr>
        <w:top w:val="none" w:sz="0" w:space="0" w:color="auto"/>
        <w:left w:val="none" w:sz="0" w:space="0" w:color="auto"/>
        <w:bottom w:val="none" w:sz="0" w:space="0" w:color="auto"/>
        <w:right w:val="none" w:sz="0" w:space="0" w:color="auto"/>
      </w:divBdr>
    </w:div>
    <w:div w:id="956058055">
      <w:bodyDiv w:val="1"/>
      <w:marLeft w:val="0"/>
      <w:marRight w:val="0"/>
      <w:marTop w:val="0"/>
      <w:marBottom w:val="0"/>
      <w:divBdr>
        <w:top w:val="none" w:sz="0" w:space="0" w:color="auto"/>
        <w:left w:val="none" w:sz="0" w:space="0" w:color="auto"/>
        <w:bottom w:val="none" w:sz="0" w:space="0" w:color="auto"/>
        <w:right w:val="none" w:sz="0" w:space="0" w:color="auto"/>
      </w:divBdr>
    </w:div>
    <w:div w:id="1247690183">
      <w:bodyDiv w:val="1"/>
      <w:marLeft w:val="0"/>
      <w:marRight w:val="0"/>
      <w:marTop w:val="0"/>
      <w:marBottom w:val="0"/>
      <w:divBdr>
        <w:top w:val="none" w:sz="0" w:space="0" w:color="auto"/>
        <w:left w:val="none" w:sz="0" w:space="0" w:color="auto"/>
        <w:bottom w:val="none" w:sz="0" w:space="0" w:color="auto"/>
        <w:right w:val="none" w:sz="0" w:space="0" w:color="auto"/>
      </w:divBdr>
    </w:div>
    <w:div w:id="1454447288">
      <w:bodyDiv w:val="1"/>
      <w:marLeft w:val="0"/>
      <w:marRight w:val="0"/>
      <w:marTop w:val="0"/>
      <w:marBottom w:val="0"/>
      <w:divBdr>
        <w:top w:val="none" w:sz="0" w:space="0" w:color="auto"/>
        <w:left w:val="none" w:sz="0" w:space="0" w:color="auto"/>
        <w:bottom w:val="none" w:sz="0" w:space="0" w:color="auto"/>
        <w:right w:val="none" w:sz="0" w:space="0" w:color="auto"/>
      </w:divBdr>
    </w:div>
    <w:div w:id="17464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hgalteria.com.ua/Dopinform/nak73_zm627.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5F7E-AD1E-4336-9D56-337AF33E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41970</Words>
  <Characters>23924</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ПОВНЕ ТОВАРИСТВО "ЛОМБАРД "ГАРАНТ-ЧЕРКАСИ" БОРОДАЙ О</vt:lpstr>
    </vt:vector>
  </TitlesOfParts>
  <Company>Grizli777</Company>
  <LinksUpToDate>false</LinksUpToDate>
  <CharactersWithSpaces>65763</CharactersWithSpaces>
  <SharedDoc>false</SharedDoc>
  <HLinks>
    <vt:vector size="6" baseType="variant">
      <vt:variant>
        <vt:i4>5832829</vt:i4>
      </vt:variant>
      <vt:variant>
        <vt:i4>3</vt:i4>
      </vt:variant>
      <vt:variant>
        <vt:i4>0</vt:i4>
      </vt:variant>
      <vt:variant>
        <vt:i4>5</vt:i4>
      </vt:variant>
      <vt:variant>
        <vt:lpwstr>http://www.buhgalteria.com.ua/Dopinform/nak73_zm627.doc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ПОВНЕ ТОВАРИСТВО "ЛОМБАРД "ГАРАНТ-ЧЕРКАСИ" БОРОДАЙ О</dc:title>
  <dc:subject/>
  <dc:creator>BOSS</dc:creator>
  <cp:keywords/>
  <cp:lastModifiedBy>Admin</cp:lastModifiedBy>
  <cp:revision>2</cp:revision>
  <cp:lastPrinted>2020-04-22T08:07:00Z</cp:lastPrinted>
  <dcterms:created xsi:type="dcterms:W3CDTF">2020-04-22T08:11:00Z</dcterms:created>
  <dcterms:modified xsi:type="dcterms:W3CDTF">2020-04-22T08:11:00Z</dcterms:modified>
</cp:coreProperties>
</file>