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77" w:rsidRDefault="00DF3A77" w:rsidP="00DF3A77">
      <w:pPr>
        <w:pStyle w:val="Standard"/>
      </w:pPr>
    </w:p>
    <w:p w:rsidR="00DF3A77" w:rsidRDefault="00DF3A77" w:rsidP="00DF3A77">
      <w:pPr>
        <w:pStyle w:val="Standard"/>
      </w:pPr>
    </w:p>
    <w:p w:rsidR="00DF3A77" w:rsidRDefault="00DF3A77" w:rsidP="00DF3A77">
      <w:pPr>
        <w:pStyle w:val="Standard"/>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Pr="00234E51" w:rsidRDefault="00234E51" w:rsidP="00234E51">
      <w:pPr>
        <w:widowControl w:val="0"/>
        <w:suppressAutoHyphens/>
        <w:jc w:val="center"/>
        <w:rPr>
          <w:rFonts w:eastAsia="Courier New"/>
          <w:b/>
          <w:color w:val="000000"/>
          <w:kern w:val="16"/>
          <w:sz w:val="48"/>
          <w:szCs w:val="48"/>
          <w:lang w:eastAsia="uk-UA"/>
        </w:rPr>
      </w:pPr>
      <w:r w:rsidRPr="00234E51">
        <w:rPr>
          <w:rFonts w:eastAsia="Courier New"/>
          <w:b/>
          <w:color w:val="000000"/>
          <w:kern w:val="16"/>
          <w:sz w:val="48"/>
          <w:szCs w:val="48"/>
          <w:lang w:eastAsia="uk-UA"/>
        </w:rPr>
        <w:t>РІЧНИЙ ФІНАНСОВИЙ ЗВІТ</w:t>
      </w:r>
    </w:p>
    <w:p w:rsidR="00234E51" w:rsidRPr="00234E51" w:rsidRDefault="00234E51" w:rsidP="00234E51">
      <w:pPr>
        <w:widowControl w:val="0"/>
        <w:suppressAutoHyphens/>
        <w:jc w:val="center"/>
        <w:rPr>
          <w:rFonts w:eastAsia="Courier New"/>
          <w:color w:val="000000"/>
          <w:kern w:val="16"/>
          <w:szCs w:val="24"/>
          <w:lang w:eastAsia="uk-UA"/>
        </w:rPr>
      </w:pPr>
      <w:r w:rsidRPr="00234E51">
        <w:rPr>
          <w:rFonts w:eastAsia="Courier New"/>
          <w:b/>
          <w:color w:val="000000"/>
          <w:kern w:val="16"/>
          <w:sz w:val="40"/>
          <w:szCs w:val="40"/>
          <w:lang w:eastAsia="uk-UA"/>
        </w:rPr>
        <w:t>за 2020</w:t>
      </w:r>
      <w:r w:rsidRPr="00234E51">
        <w:rPr>
          <w:rFonts w:eastAsia="Courier New"/>
          <w:b/>
          <w:color w:val="000000"/>
          <w:kern w:val="16"/>
          <w:sz w:val="40"/>
          <w:szCs w:val="40"/>
          <w:lang w:val="ru-RU" w:eastAsia="uk-UA"/>
        </w:rPr>
        <w:t xml:space="preserve"> </w:t>
      </w:r>
      <w:proofErr w:type="spellStart"/>
      <w:r w:rsidRPr="00234E51">
        <w:rPr>
          <w:rFonts w:eastAsia="Courier New"/>
          <w:b/>
          <w:color w:val="000000"/>
          <w:kern w:val="16"/>
          <w:sz w:val="40"/>
          <w:szCs w:val="40"/>
          <w:lang w:val="ru-RU" w:eastAsia="uk-UA"/>
        </w:rPr>
        <w:t>р</w:t>
      </w:r>
      <w:r w:rsidRPr="00234E51">
        <w:rPr>
          <w:rFonts w:eastAsia="Courier New"/>
          <w:b/>
          <w:color w:val="000000"/>
          <w:kern w:val="16"/>
          <w:sz w:val="40"/>
          <w:szCs w:val="40"/>
          <w:lang w:eastAsia="uk-UA"/>
        </w:rPr>
        <w:t>ік</w:t>
      </w:r>
      <w:proofErr w:type="spellEnd"/>
    </w:p>
    <w:p w:rsidR="00DF3A77" w:rsidRPr="00DF3A77" w:rsidRDefault="00234E51" w:rsidP="00234E51">
      <w:pPr>
        <w:pStyle w:val="Standard"/>
        <w:jc w:val="center"/>
        <w:rPr>
          <w:rFonts w:ascii="Times New Roman" w:hAnsi="Times New Roman" w:cs="Times New Roman"/>
        </w:rPr>
      </w:pPr>
      <w:r w:rsidRPr="00234E51">
        <w:rPr>
          <w:rFonts w:ascii="Times New Roman" w:eastAsia="SimSun" w:hAnsi="Times New Roman" w:cs="Times New Roman"/>
          <w:bCs/>
          <w:noProof/>
          <w:color w:val="auto"/>
          <w:sz w:val="40"/>
          <w:szCs w:val="40"/>
          <w:lang w:val="ru-RU" w:eastAsia="en-US"/>
        </w:rPr>
        <w:t>ПОВН</w:t>
      </w:r>
      <w:r>
        <w:rPr>
          <w:rFonts w:ascii="Times New Roman" w:eastAsia="SimSun" w:hAnsi="Times New Roman" w:cs="Times New Roman"/>
          <w:bCs/>
          <w:noProof/>
          <w:color w:val="auto"/>
          <w:sz w:val="40"/>
          <w:szCs w:val="40"/>
          <w:lang w:val="ru-RU" w:eastAsia="en-US"/>
        </w:rPr>
        <w:t>ОГО</w:t>
      </w:r>
      <w:r w:rsidRPr="00234E51">
        <w:rPr>
          <w:rFonts w:ascii="Times New Roman" w:eastAsia="SimSun" w:hAnsi="Times New Roman" w:cs="Times New Roman"/>
          <w:bCs/>
          <w:noProof/>
          <w:color w:val="auto"/>
          <w:sz w:val="40"/>
          <w:szCs w:val="40"/>
          <w:lang w:val="ru-RU" w:eastAsia="en-US"/>
        </w:rPr>
        <w:t xml:space="preserve"> ТОВАРИСТВ</w:t>
      </w:r>
      <w:r>
        <w:rPr>
          <w:rFonts w:ascii="Times New Roman" w:eastAsia="SimSun" w:hAnsi="Times New Roman" w:cs="Times New Roman"/>
          <w:bCs/>
          <w:noProof/>
          <w:color w:val="auto"/>
          <w:sz w:val="40"/>
          <w:szCs w:val="40"/>
          <w:lang w:val="ru-RU" w:eastAsia="en-US"/>
        </w:rPr>
        <w:t xml:space="preserve">А </w:t>
      </w:r>
      <w:r w:rsidRPr="00234E51">
        <w:rPr>
          <w:rFonts w:ascii="Times New Roman" w:eastAsia="SimSun" w:hAnsi="Times New Roman" w:cs="Times New Roman"/>
          <w:bCs/>
          <w:noProof/>
          <w:color w:val="auto"/>
          <w:sz w:val="40"/>
          <w:szCs w:val="40"/>
          <w:lang w:val="ru-RU" w:eastAsia="en-US"/>
        </w:rPr>
        <w:t>"ЛОМБАРД "ГАРАНТ-ЧЕРКАСИ" БОРОДАЙ О.А. І КОМПАНІЯ"</w:t>
      </w:r>
    </w:p>
    <w:p w:rsidR="00234E51" w:rsidRPr="00234E51" w:rsidRDefault="00234E51" w:rsidP="00234E51">
      <w:pPr>
        <w:widowControl w:val="0"/>
        <w:suppressAutoHyphens/>
        <w:jc w:val="center"/>
        <w:rPr>
          <w:rFonts w:eastAsia="Courier New"/>
          <w:b/>
          <w:color w:val="000000"/>
          <w:kern w:val="16"/>
          <w:sz w:val="36"/>
          <w:szCs w:val="36"/>
          <w:lang w:eastAsia="uk-UA"/>
        </w:rPr>
      </w:pPr>
      <w:r w:rsidRPr="00234E51">
        <w:rPr>
          <w:rFonts w:eastAsia="Courier New"/>
          <w:b/>
          <w:color w:val="000000"/>
          <w:kern w:val="16"/>
          <w:sz w:val="36"/>
          <w:szCs w:val="36"/>
          <w:lang w:eastAsia="uk-UA"/>
        </w:rPr>
        <w:t>станом на 31.12.2020 року</w:t>
      </w:r>
    </w:p>
    <w:p w:rsidR="00DF3A77" w:rsidRDefault="00DF3A77"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r>
        <w:rPr>
          <w:rFonts w:ascii="Times New Roman" w:hAnsi="Times New Roman" w:cs="Times New Roman"/>
        </w:rPr>
        <w:t>м. Черкаси 2021</w:t>
      </w:r>
    </w:p>
    <w:p w:rsidR="00234E51" w:rsidRDefault="00234E51" w:rsidP="00234E51">
      <w:pPr>
        <w:pStyle w:val="Standard"/>
        <w:jc w:val="center"/>
        <w:rPr>
          <w:rFonts w:ascii="Times New Roman" w:hAnsi="Times New Roman" w:cs="Times New Roman"/>
        </w:rPr>
      </w:pPr>
    </w:p>
    <w:p w:rsidR="00234E51" w:rsidRPr="00234E51" w:rsidRDefault="00234E51" w:rsidP="00234E51">
      <w:pPr>
        <w:widowControl w:val="0"/>
        <w:shd w:val="clear" w:color="auto" w:fill="FFFFFF"/>
        <w:suppressAutoHyphens/>
        <w:ind w:hanging="620"/>
        <w:jc w:val="center"/>
        <w:rPr>
          <w:rFonts w:eastAsia="Courier New"/>
          <w:b/>
          <w:color w:val="00000A"/>
          <w:kern w:val="16"/>
          <w:szCs w:val="24"/>
        </w:rPr>
      </w:pPr>
    </w:p>
    <w:p w:rsidR="00234E51" w:rsidRPr="00234E51" w:rsidRDefault="00234E51" w:rsidP="00234E51">
      <w:pPr>
        <w:shd w:val="clear" w:color="auto" w:fill="FFFFFF"/>
        <w:ind w:hanging="620"/>
        <w:jc w:val="center"/>
        <w:rPr>
          <w:rFonts w:eastAsia="SimSun"/>
          <w:kern w:val="16"/>
          <w:sz w:val="22"/>
          <w:szCs w:val="22"/>
        </w:rPr>
      </w:pPr>
      <w:r w:rsidRPr="00234E51">
        <w:rPr>
          <w:b/>
          <w:kern w:val="16"/>
          <w:szCs w:val="24"/>
        </w:rPr>
        <w:t>ЗМІСТ:</w:t>
      </w:r>
    </w:p>
    <w:p w:rsidR="00234E51" w:rsidRPr="00F4443E" w:rsidRDefault="003367B6" w:rsidP="00234E51">
      <w:pPr>
        <w:tabs>
          <w:tab w:val="right" w:leader="dot" w:pos="9356"/>
        </w:tabs>
        <w:autoSpaceDN w:val="0"/>
        <w:jc w:val="both"/>
        <w:rPr>
          <w:rFonts w:eastAsia="SimSun"/>
          <w:color w:val="000000" w:themeColor="text1"/>
          <w:kern w:val="16"/>
          <w:sz w:val="22"/>
          <w:szCs w:val="22"/>
        </w:rPr>
      </w:pPr>
      <w:r w:rsidRPr="00234E51">
        <w:rPr>
          <w:rFonts w:eastAsia="SimSun"/>
          <w:kern w:val="16"/>
          <w:sz w:val="22"/>
          <w:szCs w:val="22"/>
          <w:lang w:val="ru-RU"/>
        </w:rPr>
        <w:fldChar w:fldCharType="begin"/>
      </w:r>
      <w:r w:rsidR="00234E51" w:rsidRPr="00234E51">
        <w:rPr>
          <w:rFonts w:eastAsia="SimSun"/>
          <w:kern w:val="16"/>
          <w:sz w:val="22"/>
          <w:szCs w:val="22"/>
          <w:lang w:val="ru-RU"/>
        </w:rPr>
        <w:instrText>TOC</w:instrText>
      </w:r>
      <w:r w:rsidR="00234E51" w:rsidRPr="00234E51">
        <w:rPr>
          <w:rFonts w:eastAsia="SimSun"/>
          <w:kern w:val="16"/>
          <w:sz w:val="22"/>
          <w:szCs w:val="22"/>
        </w:rPr>
        <w:instrText xml:space="preserve"> \</w:instrText>
      </w:r>
      <w:r w:rsidR="00234E51" w:rsidRPr="00234E51">
        <w:rPr>
          <w:rFonts w:eastAsia="SimSun"/>
          <w:kern w:val="16"/>
          <w:sz w:val="22"/>
          <w:szCs w:val="22"/>
          <w:lang w:val="ru-RU"/>
        </w:rPr>
        <w:instrText>t</w:instrText>
      </w:r>
      <w:r w:rsidR="00234E51" w:rsidRPr="00234E51">
        <w:rPr>
          <w:rFonts w:eastAsia="SimSun"/>
          <w:kern w:val="16"/>
          <w:sz w:val="22"/>
          <w:szCs w:val="22"/>
        </w:rPr>
        <w:instrText xml:space="preserve"> "Заголовок 1;1;Заголовок 2;2;" </w:instrText>
      </w:r>
      <w:r w:rsidRPr="00234E51">
        <w:rPr>
          <w:rFonts w:eastAsia="SimSun"/>
          <w:kern w:val="16"/>
          <w:sz w:val="22"/>
          <w:szCs w:val="22"/>
          <w:lang w:val="ru-RU"/>
        </w:rPr>
        <w:fldChar w:fldCharType="separate"/>
      </w:r>
      <w:r w:rsidR="00234E51" w:rsidRPr="00F4443E">
        <w:rPr>
          <w:rFonts w:eastAsia="Times New Roman"/>
          <w:smallCaps/>
          <w:color w:val="000000" w:themeColor="text1"/>
          <w:kern w:val="16"/>
          <w:szCs w:val="24"/>
          <w:lang w:eastAsia="ru-RU"/>
        </w:rPr>
        <w:t>Заява про відповідальність керівництва за підготовку та затвердження  фінансової звітності</w:t>
      </w:r>
      <w:r w:rsidR="00234E51" w:rsidRPr="00F4443E">
        <w:rPr>
          <w:rFonts w:eastAsia="SimSun"/>
          <w:noProof/>
          <w:webHidden/>
          <w:color w:val="000000" w:themeColor="text1"/>
          <w:kern w:val="16"/>
          <w:sz w:val="22"/>
          <w:szCs w:val="22"/>
        </w:rPr>
        <w:tab/>
      </w:r>
      <w:r w:rsidR="00234E51" w:rsidRPr="00F4443E">
        <w:rPr>
          <w:rFonts w:eastAsia="Times New Roman"/>
          <w:smallCaps/>
          <w:color w:val="000000" w:themeColor="text1"/>
          <w:kern w:val="16"/>
          <w:szCs w:val="24"/>
          <w:lang w:eastAsia="ru-RU"/>
        </w:rPr>
        <w:t>3</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Баланс (звіт про фінансовий стан)</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4</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фінансові результати (звіт про сукупний дохід)</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5</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рух грошових коштів (за прямим методом)</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6</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власний капітал</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7</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Примітки до  фінансової звітності</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8</w:t>
      </w:r>
    </w:p>
    <w:p w:rsidR="00234E51" w:rsidRPr="00F4443E" w:rsidRDefault="00234E51" w:rsidP="00234E51">
      <w:pPr>
        <w:tabs>
          <w:tab w:val="right" w:leader="dot" w:pos="720"/>
          <w:tab w:val="left" w:pos="1404"/>
          <w:tab w:val="right" w:leader="dot" w:pos="9356"/>
        </w:tabs>
        <w:autoSpaceDN w:val="0"/>
        <w:ind w:left="708"/>
        <w:jc w:val="both"/>
        <w:rPr>
          <w:rFonts w:eastAsia="Times New Roman"/>
          <w:color w:val="000000" w:themeColor="text1"/>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Default="003367B6" w:rsidP="00234E51">
      <w:pPr>
        <w:pStyle w:val="Standard"/>
        <w:jc w:val="center"/>
        <w:rPr>
          <w:rFonts w:ascii="Times New Roman" w:eastAsia="SimSun" w:hAnsi="Times New Roman" w:cs="Times New Roman"/>
          <w:color w:val="auto"/>
          <w:sz w:val="22"/>
          <w:szCs w:val="22"/>
          <w:lang w:val="ru-RU" w:eastAsia="en-US"/>
        </w:rPr>
      </w:pPr>
      <w:r w:rsidRPr="00234E51">
        <w:rPr>
          <w:rFonts w:ascii="Times New Roman" w:eastAsia="SimSun" w:hAnsi="Times New Roman" w:cs="Times New Roman"/>
          <w:color w:val="auto"/>
          <w:sz w:val="22"/>
          <w:szCs w:val="22"/>
          <w:lang w:val="ru-RU" w:eastAsia="en-US"/>
        </w:rPr>
        <w:fldChar w:fldCharType="end"/>
      </w: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Pr="00234E51" w:rsidRDefault="00234E51" w:rsidP="00234E51">
      <w:pPr>
        <w:widowControl w:val="0"/>
        <w:shd w:val="clear" w:color="auto" w:fill="FFFFFF"/>
        <w:suppressAutoHyphens/>
        <w:ind w:hanging="620"/>
        <w:jc w:val="center"/>
        <w:rPr>
          <w:rFonts w:eastAsia="Times New Roman"/>
          <w:b/>
          <w:color w:val="00000A"/>
          <w:kern w:val="16"/>
          <w:sz w:val="28"/>
          <w:szCs w:val="28"/>
          <w:lang w:eastAsia="ru-RU"/>
        </w:rPr>
      </w:pPr>
      <w:r w:rsidRPr="00234E51">
        <w:rPr>
          <w:rFonts w:eastAsia="Times New Roman"/>
          <w:b/>
          <w:color w:val="00000A"/>
          <w:kern w:val="16"/>
          <w:sz w:val="28"/>
          <w:szCs w:val="28"/>
          <w:lang w:eastAsia="ru-RU"/>
        </w:rPr>
        <w:lastRenderedPageBreak/>
        <w:t>ЗАЯВА</w:t>
      </w:r>
    </w:p>
    <w:p w:rsidR="00234E51" w:rsidRPr="00234E51" w:rsidRDefault="00234E51" w:rsidP="00234E51">
      <w:pPr>
        <w:widowControl w:val="0"/>
        <w:shd w:val="clear" w:color="auto" w:fill="FFFFFF"/>
        <w:suppressAutoHyphens/>
        <w:ind w:hanging="620"/>
        <w:jc w:val="center"/>
        <w:rPr>
          <w:rFonts w:eastAsia="Courier New"/>
          <w:color w:val="00000A"/>
          <w:kern w:val="16"/>
          <w:sz w:val="28"/>
          <w:szCs w:val="28"/>
          <w:lang w:val="ru-RU"/>
        </w:rPr>
      </w:pPr>
      <w:r w:rsidRPr="00234E51">
        <w:rPr>
          <w:rFonts w:eastAsia="Times New Roman"/>
          <w:b/>
          <w:color w:val="00000A"/>
          <w:kern w:val="16"/>
          <w:sz w:val="28"/>
          <w:szCs w:val="28"/>
          <w:lang w:eastAsia="ru-RU"/>
        </w:rPr>
        <w:t>ПРО ВІДПОВІДАЛЬНІСТЬ КЕРІВНИЦТВА ЗА ПІДГОТОВКУ ТА ЗАТВЕРДЖЕННЯ ФІНАНСОВОЇ ЗВІТНОСТІ ЗА 2020 РІК</w:t>
      </w:r>
    </w:p>
    <w:p w:rsidR="00234E51" w:rsidRDefault="00234E51" w:rsidP="00234E51">
      <w:pPr>
        <w:pStyle w:val="Standard"/>
        <w:jc w:val="center"/>
        <w:rPr>
          <w:rFonts w:ascii="Times New Roman" w:eastAsia="SimSun" w:hAnsi="Times New Roman" w:cs="Times New Roman"/>
          <w:b/>
          <w:bCs/>
          <w:noProof/>
          <w:color w:val="auto"/>
          <w:sz w:val="28"/>
          <w:szCs w:val="28"/>
          <w:lang w:val="ru-RU" w:eastAsia="en-US"/>
        </w:rPr>
      </w:pPr>
      <w:r w:rsidRPr="00234E51">
        <w:rPr>
          <w:rFonts w:ascii="Times New Roman" w:eastAsia="SimSun" w:hAnsi="Times New Roman" w:cs="Times New Roman"/>
          <w:b/>
          <w:bCs/>
          <w:noProof/>
          <w:color w:val="auto"/>
          <w:sz w:val="28"/>
          <w:szCs w:val="28"/>
          <w:lang w:val="ru-RU" w:eastAsia="en-US"/>
        </w:rPr>
        <w:t>ПОВНОГО ТОВАРИСТВАЛОМБАРД "ГАРАНТ-ЧЕРКАСИ" БОРОДАЙ О.А. І КОМПАНІЯ"</w:t>
      </w:r>
    </w:p>
    <w:p w:rsidR="00234E51" w:rsidRDefault="00234E51" w:rsidP="00234E51">
      <w:pPr>
        <w:widowControl w:val="0"/>
        <w:suppressAutoHyphens/>
        <w:jc w:val="center"/>
        <w:rPr>
          <w:rFonts w:eastAsia="Times New Roman"/>
          <w:b/>
          <w:color w:val="000000"/>
          <w:kern w:val="16"/>
          <w:sz w:val="28"/>
          <w:szCs w:val="28"/>
          <w:lang w:eastAsia="ru-RU"/>
        </w:rPr>
      </w:pPr>
      <w:proofErr w:type="gramStart"/>
      <w:r w:rsidRPr="00234E51">
        <w:rPr>
          <w:rFonts w:eastAsia="Times New Roman"/>
          <w:b/>
          <w:color w:val="000000"/>
          <w:kern w:val="16"/>
          <w:sz w:val="28"/>
          <w:szCs w:val="28"/>
          <w:lang w:val="en-US" w:eastAsia="ru-RU"/>
        </w:rPr>
        <w:t>c</w:t>
      </w:r>
      <w:proofErr w:type="spellStart"/>
      <w:r w:rsidRPr="00234E51">
        <w:rPr>
          <w:rFonts w:eastAsia="Times New Roman"/>
          <w:b/>
          <w:color w:val="000000"/>
          <w:kern w:val="16"/>
          <w:sz w:val="28"/>
          <w:szCs w:val="28"/>
          <w:lang w:eastAsia="ru-RU"/>
        </w:rPr>
        <w:t>таном</w:t>
      </w:r>
      <w:proofErr w:type="spellEnd"/>
      <w:proofErr w:type="gramEnd"/>
      <w:r w:rsidRPr="00234E51">
        <w:rPr>
          <w:rFonts w:eastAsia="Times New Roman"/>
          <w:b/>
          <w:color w:val="000000"/>
          <w:kern w:val="16"/>
          <w:sz w:val="28"/>
          <w:szCs w:val="28"/>
          <w:lang w:eastAsia="ru-RU"/>
        </w:rPr>
        <w:t xml:space="preserve"> на 31 грудня 2020 року</w:t>
      </w:r>
    </w:p>
    <w:p w:rsidR="00234E51" w:rsidRPr="00234E51" w:rsidRDefault="00234E51" w:rsidP="00234E51">
      <w:pPr>
        <w:widowControl w:val="0"/>
        <w:suppressAutoHyphens/>
        <w:jc w:val="center"/>
        <w:rPr>
          <w:rFonts w:eastAsia="Courier New"/>
          <w:color w:val="000000"/>
          <w:kern w:val="16"/>
          <w:szCs w:val="24"/>
          <w:lang w:eastAsia="uk-UA"/>
        </w:rPr>
      </w:pPr>
    </w:p>
    <w:p w:rsidR="00234E51" w:rsidRPr="00234E51" w:rsidRDefault="00234E51" w:rsidP="00234E51">
      <w:pPr>
        <w:pStyle w:val="Standard"/>
        <w:ind w:firstLine="567"/>
        <w:jc w:val="both"/>
        <w:rPr>
          <w:rFonts w:ascii="Times New Roman" w:eastAsia="SimSun" w:hAnsi="Times New Roman" w:cs="Times New Roman"/>
          <w:bCs/>
          <w:noProof/>
          <w:color w:val="auto"/>
          <w:lang w:eastAsia="en-US"/>
        </w:rPr>
      </w:pPr>
      <w:r w:rsidRPr="00234E51">
        <w:rPr>
          <w:rFonts w:ascii="Times New Roman" w:eastAsia="SimSun" w:hAnsi="Times New Roman" w:cs="Times New Roman"/>
          <w:color w:val="auto"/>
          <w:lang w:eastAsia="ru-RU"/>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звітності </w:t>
      </w:r>
      <w:r w:rsidRPr="00234E51">
        <w:rPr>
          <w:rFonts w:ascii="Times New Roman" w:eastAsia="SimSun" w:hAnsi="Times New Roman" w:cs="Times New Roman"/>
          <w:bCs/>
          <w:noProof/>
          <w:color w:val="auto"/>
          <w:lang w:eastAsia="en-US"/>
        </w:rPr>
        <w:t>ПОВНОГО ТОВАРИСТВА  "ГАРАНТ-ЧЕРКАСИ" БОРОДАЙ О.А. І КОМПАНІЯ"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товариства відповідає за підготовку фінансової звітності, достовірно відображає у всіх суттєвих аспектах фінансовий стан товариства станом на 31 грудня 2020 року,  звіт про фінансові результати за 2020 рік, а також рух грошових коштів та зміну в чистих активах, що належать учасникам, за рік, що закінчився на цю дату у відповідності до вимог Міжнародних стандартів фінансової звітності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При підготовці фінансової звітності керівництво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Вибір належних принципів бухгалтерського обліку і їх послідовне застосування;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Застосування обґрунтованих оцінок і припущень;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Дотримання відповідних МСФЗ і розкриття всіх істотних відхилень у примітках до фінансової звітності;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Підготовку фінансової звітності, виходячи з припущення, що товариство буде продовжувати свою діяльність у доступному для огляду майбутньому, за винятком випадків, коли таке допущення неправомірно.</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також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Розробку, впровадження та забезпечення функціонування ефективної та надійної системи внутрішнього контролю у товаристві;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Вживання заходів в межах своєї компетенції для забезпечення зберігання активів Компанії;</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Запобігання та виявлення фактів шахрайства та інших зловживань.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xml:space="preserve">Фінансова звітність за фінансовий рік, що закінчився 31 грудня 2020 року, була затверджена Наказом № </w:t>
      </w:r>
      <w:r w:rsidR="00331FFC">
        <w:rPr>
          <w:rFonts w:ascii="Times New Roman" w:eastAsia="SimSun" w:hAnsi="Times New Roman" w:cs="Times New Roman"/>
          <w:color w:val="auto"/>
          <w:lang w:eastAsia="en-US"/>
        </w:rPr>
        <w:t>120</w:t>
      </w:r>
      <w:r w:rsidRPr="00234E51">
        <w:rPr>
          <w:rFonts w:ascii="Times New Roman" w:eastAsia="SimSun" w:hAnsi="Times New Roman" w:cs="Times New Roman"/>
          <w:color w:val="auto"/>
          <w:lang w:eastAsia="en-US"/>
        </w:rPr>
        <w:t xml:space="preserve">  від« 15» лютого 2021 року</w:t>
      </w:r>
    </w:p>
    <w:p w:rsidR="00234E51" w:rsidRPr="00234E51" w:rsidRDefault="00234E51"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Від імені керівництва товариства:</w:t>
      </w:r>
    </w:p>
    <w:p w:rsidR="00234E51" w:rsidRPr="00234E51" w:rsidRDefault="00234E51" w:rsidP="00234E51">
      <w:pPr>
        <w:pStyle w:val="Standard"/>
        <w:jc w:val="both"/>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Директор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Н.О.</w:t>
      </w:r>
    </w:p>
    <w:p w:rsidR="00234E51" w:rsidRPr="00234E51" w:rsidRDefault="00234E51"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Головний бухгалтер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А.Л.</w:t>
      </w:r>
    </w:p>
    <w:p w:rsidR="00EA6E43" w:rsidRDefault="00EA6E43" w:rsidP="00234E51">
      <w:pPr>
        <w:pStyle w:val="Standard"/>
        <w:rPr>
          <w:rFonts w:ascii="Times New Roman" w:eastAsia="SimSun" w:hAnsi="Times New Roman" w:cs="Times New Roman"/>
          <w:color w:val="auto"/>
          <w:sz w:val="20"/>
          <w:szCs w:val="20"/>
          <w:lang w:eastAsia="en-US"/>
        </w:rPr>
      </w:pPr>
    </w:p>
    <w:p w:rsidR="00234E51" w:rsidRPr="00234E51" w:rsidRDefault="00EA6E43" w:rsidP="00234E51">
      <w:pPr>
        <w:pStyle w:val="Standard"/>
        <w:rPr>
          <w:rFonts w:ascii="Times New Roman" w:eastAsia="SimSun" w:hAnsi="Times New Roman" w:cs="Times New Roman"/>
          <w:color w:val="auto"/>
          <w:sz w:val="20"/>
          <w:szCs w:val="20"/>
          <w:lang w:eastAsia="en-US"/>
        </w:rPr>
      </w:pPr>
      <w:r>
        <w:rPr>
          <w:rFonts w:ascii="Times New Roman" w:eastAsia="SimSun" w:hAnsi="Times New Roman" w:cs="Times New Roman"/>
          <w:color w:val="auto"/>
          <w:sz w:val="20"/>
          <w:szCs w:val="20"/>
          <w:lang w:eastAsia="en-US"/>
        </w:rPr>
        <w:t xml:space="preserve">                                              </w:t>
      </w:r>
      <w:r w:rsidR="00234E51" w:rsidRPr="00234E51">
        <w:rPr>
          <w:rFonts w:ascii="Times New Roman" w:eastAsia="SimSun" w:hAnsi="Times New Roman" w:cs="Times New Roman"/>
          <w:color w:val="auto"/>
          <w:sz w:val="20"/>
          <w:szCs w:val="20"/>
          <w:lang w:eastAsia="en-US"/>
        </w:rPr>
        <w:t>МП</w:t>
      </w: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EA6E43">
      <w:pPr>
        <w:pStyle w:val="Standard"/>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A425B8" w:rsidRPr="00A425B8" w:rsidRDefault="00A425B8" w:rsidP="00A425B8">
      <w:pPr>
        <w:keepNext/>
        <w:keepLines/>
        <w:widowControl w:val="0"/>
        <w:tabs>
          <w:tab w:val="num" w:pos="0"/>
        </w:tabs>
        <w:suppressAutoHyphens/>
        <w:jc w:val="center"/>
        <w:rPr>
          <w:rFonts w:eastAsia="Courier New"/>
          <w:b/>
          <w:bCs/>
          <w:color w:val="365F91"/>
          <w:kern w:val="16"/>
          <w:sz w:val="28"/>
          <w:szCs w:val="28"/>
          <w:lang w:eastAsia="uk-UA"/>
        </w:rPr>
      </w:pPr>
      <w:r w:rsidRPr="00A425B8">
        <w:rPr>
          <w:rFonts w:eastAsia="Courier New"/>
          <w:b/>
          <w:bCs/>
          <w:kern w:val="16"/>
          <w:sz w:val="28"/>
          <w:szCs w:val="28"/>
          <w:lang w:eastAsia="uk-UA"/>
        </w:rPr>
        <w:lastRenderedPageBreak/>
        <w:t>Баланс (Звіт про фінансовий стан)</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станом на 31 грудня 2020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69" w:type="dxa"/>
        <w:tblInd w:w="-34" w:type="dxa"/>
        <w:tblLayout w:type="fixed"/>
        <w:tblLook w:val="0000"/>
      </w:tblPr>
      <w:tblGrid>
        <w:gridCol w:w="5245"/>
        <w:gridCol w:w="1274"/>
        <w:gridCol w:w="1273"/>
        <w:gridCol w:w="1277"/>
      </w:tblGrid>
      <w:tr w:rsidR="00CC74D1" w:rsidRPr="00FE6A59" w:rsidTr="00FE6A59">
        <w:trPr>
          <w:trHeight w:val="258"/>
        </w:trPr>
        <w:tc>
          <w:tcPr>
            <w:tcW w:w="5245" w:type="dxa"/>
            <w:tcBorders>
              <w:bottom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Times New Roman"/>
                <w:b/>
                <w:bCs/>
                <w:color w:val="00000A"/>
                <w:kern w:val="16"/>
                <w:sz w:val="20"/>
              </w:rPr>
            </w:pPr>
            <w:r w:rsidRPr="00FE6A59">
              <w:rPr>
                <w:rFonts w:eastAsia="Times New Roman"/>
                <w:b/>
                <w:bCs/>
                <w:color w:val="00000A"/>
                <w:kern w:val="16"/>
                <w:sz w:val="20"/>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 примітки</w:t>
            </w:r>
          </w:p>
        </w:tc>
        <w:tc>
          <w:tcPr>
            <w:tcW w:w="1273" w:type="dxa"/>
            <w:tcBorders>
              <w:left w:val="single" w:sz="4" w:space="0" w:color="auto"/>
              <w:bottom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rPr>
              <w:t>31 грудня 2019р.</w:t>
            </w:r>
          </w:p>
        </w:tc>
        <w:tc>
          <w:tcPr>
            <w:tcW w:w="1277" w:type="dxa"/>
            <w:tcBorders>
              <w:bottom w:val="single" w:sz="4" w:space="0" w:color="auto"/>
            </w:tcBorders>
            <w:tcMar>
              <w:top w:w="0" w:type="dxa"/>
              <w:left w:w="108" w:type="dxa"/>
              <w:bottom w:w="0" w:type="dxa"/>
              <w:right w:w="108" w:type="dxa"/>
            </w:tcMa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31 грудня 2020р.</w:t>
            </w:r>
          </w:p>
        </w:tc>
      </w:tr>
      <w:tr w:rsidR="00CC74D1" w:rsidRPr="00FE6A59" w:rsidTr="00FE6A59">
        <w:trPr>
          <w:trHeight w:val="258"/>
        </w:trPr>
        <w:tc>
          <w:tcPr>
            <w:tcW w:w="5245" w:type="dxa"/>
            <w:tcBorders>
              <w:top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Актив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Необоротні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Нематеріальні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Незавершені капітальні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Основнізасоби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85.5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75.1</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Довгострокові 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Відстрочені податкові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необоротних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lang w:val="en-US" w:eastAsia="uk-UA"/>
              </w:rPr>
            </w:pPr>
            <w:r w:rsidRPr="00FE6A59">
              <w:rPr>
                <w:rFonts w:eastAsia="Courier New"/>
                <w:b/>
                <w:bCs/>
                <w:color w:val="000000"/>
                <w:kern w:val="16"/>
                <w:sz w:val="20"/>
                <w:lang w:val="en-US" w:eastAsia="uk-UA"/>
              </w:rPr>
              <w:t>85.5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val="en-US"/>
              </w:rPr>
            </w:pPr>
            <w:r w:rsidRPr="00FE6A59">
              <w:rPr>
                <w:rFonts w:eastAsia="Times New Roman"/>
                <w:b/>
                <w:bCs/>
                <w:color w:val="00000A"/>
                <w:kern w:val="16"/>
                <w:sz w:val="20"/>
                <w:lang w:val="en-US"/>
              </w:rPr>
              <w:t>75.1</w:t>
            </w:r>
          </w:p>
        </w:tc>
      </w:tr>
      <w:tr w:rsidR="00CC74D1" w:rsidRPr="00FE6A59" w:rsidTr="00FE6A59">
        <w:trPr>
          <w:trHeight w:val="70"/>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Запаси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033736" w:rsidP="00FE6A59">
            <w:pPr>
              <w:widowControl w:val="0"/>
              <w:suppressAutoHyphens/>
              <w:jc w:val="center"/>
              <w:rPr>
                <w:rFonts w:eastAsia="Times New Roman"/>
                <w:color w:val="00000A"/>
                <w:kern w:val="16"/>
                <w:sz w:val="20"/>
              </w:rPr>
            </w:pPr>
            <w:r>
              <w:rPr>
                <w:rFonts w:eastAsia="Times New Roman"/>
                <w:color w:val="00000A"/>
                <w:kern w:val="16"/>
                <w:sz w:val="20"/>
              </w:rPr>
              <w:t>841,7</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продукцію,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5</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033736" w:rsidRDefault="00CC74D1" w:rsidP="00033736">
            <w:pPr>
              <w:widowControl w:val="0"/>
              <w:suppressAutoHyphens/>
              <w:jc w:val="center"/>
              <w:rPr>
                <w:rFonts w:eastAsia="Courier New"/>
                <w:color w:val="000000"/>
                <w:kern w:val="16"/>
                <w:sz w:val="20"/>
                <w:lang w:eastAsia="uk-UA"/>
              </w:rPr>
            </w:pPr>
            <w:r w:rsidRPr="00FE6A59">
              <w:rPr>
                <w:rFonts w:eastAsia="Courier New"/>
                <w:color w:val="000000"/>
                <w:kern w:val="16"/>
                <w:sz w:val="20"/>
                <w:lang w:val="en-US" w:eastAsia="uk-UA"/>
              </w:rPr>
              <w:t>146</w:t>
            </w:r>
            <w:r w:rsidR="00033736">
              <w:rPr>
                <w:rFonts w:eastAsia="Courier New"/>
                <w:color w:val="000000"/>
                <w:kern w:val="16"/>
                <w:sz w:val="20"/>
                <w:lang w:eastAsia="uk-UA"/>
              </w:rPr>
              <w:t>6</w:t>
            </w:r>
            <w:r w:rsidRPr="00FE6A59">
              <w:rPr>
                <w:rFonts w:eastAsia="Courier New"/>
                <w:color w:val="000000"/>
                <w:kern w:val="16"/>
                <w:sz w:val="20"/>
                <w:lang w:val="en-US" w:eastAsia="uk-UA"/>
              </w:rPr>
              <w:t>.</w:t>
            </w:r>
            <w:r w:rsidR="00033736">
              <w:rPr>
                <w:rFonts w:eastAsia="Courier New"/>
                <w:color w:val="000000"/>
                <w:kern w:val="16"/>
                <w:sz w:val="20"/>
                <w:lang w:eastAsia="uk-UA"/>
              </w:rPr>
              <w:t>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033736" w:rsidRDefault="00CC74D1" w:rsidP="00033736">
            <w:pPr>
              <w:suppressAutoHyphens/>
              <w:jc w:val="center"/>
              <w:rPr>
                <w:rFonts w:eastAsia="SimSun"/>
                <w:kern w:val="16"/>
                <w:sz w:val="20"/>
              </w:rPr>
            </w:pPr>
            <w:r w:rsidRPr="00FE6A59">
              <w:rPr>
                <w:rFonts w:eastAsia="SimSun"/>
                <w:kern w:val="16"/>
                <w:sz w:val="20"/>
                <w:lang w:val="en-US"/>
              </w:rPr>
              <w:t>1</w:t>
            </w:r>
            <w:r w:rsidR="00033736">
              <w:rPr>
                <w:rFonts w:eastAsia="SimSun"/>
                <w:kern w:val="16"/>
                <w:sz w:val="20"/>
              </w:rPr>
              <w:t>023</w:t>
            </w:r>
            <w:r w:rsidRPr="00FE6A59">
              <w:rPr>
                <w:rFonts w:eastAsia="SimSun"/>
                <w:kern w:val="16"/>
                <w:sz w:val="20"/>
                <w:lang w:val="en-US"/>
              </w:rPr>
              <w:t>.</w:t>
            </w:r>
            <w:r w:rsidR="00033736">
              <w:rPr>
                <w:rFonts w:eastAsia="SimSun"/>
                <w:kern w:val="16"/>
                <w:sz w:val="20"/>
              </w:rPr>
              <w:t>7</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виданими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033736"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033736" w:rsidP="00FE6A59">
            <w:pPr>
              <w:widowControl w:val="0"/>
              <w:suppressAutoHyphens/>
              <w:jc w:val="center"/>
              <w:rPr>
                <w:rFonts w:eastAsia="Times New Roman"/>
                <w:color w:val="00000A"/>
                <w:kern w:val="16"/>
                <w:sz w:val="20"/>
              </w:rPr>
            </w:pPr>
            <w:r>
              <w:rPr>
                <w:rFonts w:eastAsia="Times New Roman"/>
                <w:color w:val="00000A"/>
                <w:kern w:val="16"/>
                <w:sz w:val="20"/>
              </w:rPr>
              <w:t>1,9</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нарахованих доходів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Інша поточна дебіторська заборгованість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Поточніфінансові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Гроші та їх еквіваленти: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6</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250.6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15.9</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Рахунки в банках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Витрати майбутніх періодів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Інші 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lang w:val="en-US" w:eastAsia="uk-UA"/>
              </w:rPr>
            </w:pPr>
            <w:r w:rsidRPr="00FE6A59">
              <w:rPr>
                <w:rFonts w:eastAsia="Courier New"/>
                <w:b/>
                <w:bCs/>
                <w:color w:val="000000"/>
                <w:kern w:val="16"/>
                <w:sz w:val="20"/>
                <w:lang w:val="en-US" w:eastAsia="uk-UA"/>
              </w:rPr>
              <w:t>1719.2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val="en-US"/>
              </w:rPr>
            </w:pPr>
            <w:r w:rsidRPr="00FE6A59">
              <w:rPr>
                <w:rFonts w:eastAsia="Times New Roman"/>
                <w:b/>
                <w:bCs/>
                <w:color w:val="00000A"/>
                <w:kern w:val="16"/>
                <w:sz w:val="20"/>
                <w:lang w:val="en-US"/>
              </w:rPr>
              <w:t>1883.2</w:t>
            </w:r>
          </w:p>
        </w:tc>
      </w:tr>
      <w:tr w:rsidR="00CC74D1" w:rsidRPr="00FE6A59" w:rsidTr="00FE6A59">
        <w:trPr>
          <w:trHeight w:val="564"/>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Необоротніактиви, утримувані для продажу, та групи вибуття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761"/>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i/>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1804.7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lang w:val="en-US" w:eastAsia="ru-RU"/>
              </w:rPr>
              <w:t>1958.3</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Пасив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lang w:eastAsia="uk-UA"/>
              </w:rPr>
            </w:pPr>
            <w:r w:rsidRPr="00FE6A59">
              <w:rPr>
                <w:rFonts w:eastAsia="Courier New"/>
                <w:b/>
                <w:bCs/>
                <w:color w:val="000000"/>
                <w:kern w:val="16"/>
                <w:sz w:val="20"/>
              </w:rPr>
              <w:t xml:space="preserve">Поточні </w:t>
            </w:r>
            <w:r w:rsidRPr="00FE6A59">
              <w:rPr>
                <w:rFonts w:eastAsia="Courier New"/>
                <w:b/>
                <w:color w:val="000000"/>
                <w:kern w:val="16"/>
                <w:sz w:val="20"/>
              </w:rPr>
              <w:t>зобов'язання і 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Кредиторська заборгованість за:</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Courier New"/>
                <w:color w:val="000000"/>
                <w:kern w:val="16"/>
                <w:sz w:val="20"/>
              </w:rPr>
            </w:pPr>
            <w:r>
              <w:rPr>
                <w:rFonts w:eastAsia="Courier New"/>
                <w:color w:val="000000"/>
                <w:kern w:val="16"/>
                <w:sz w:val="20"/>
              </w:rPr>
              <w:t>6.5.2.</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Times New Roman"/>
                <w:color w:val="00000A"/>
                <w:kern w:val="16"/>
                <w:sz w:val="20"/>
              </w:rPr>
            </w:pPr>
            <w:r>
              <w:rPr>
                <w:rFonts w:eastAsia="Times New Roman"/>
                <w:color w:val="00000A"/>
                <w:kern w:val="16"/>
                <w:sz w:val="20"/>
              </w:rPr>
              <w:t>6,8</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Times New Roman"/>
                <w:color w:val="00000A"/>
                <w:kern w:val="16"/>
                <w:sz w:val="20"/>
              </w:rPr>
            </w:pPr>
            <w:r>
              <w:rPr>
                <w:rFonts w:eastAsia="Times New Roman"/>
                <w:color w:val="00000A"/>
                <w:kern w:val="16"/>
                <w:sz w:val="20"/>
              </w:rPr>
              <w:t>20,9</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зі страхування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оплати праці</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одержаними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Поточнізабезпечення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Інші поточні зобов'язання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lang w:eastAsia="uk-UA"/>
              </w:rPr>
            </w:pPr>
            <w:r w:rsidRPr="00FE6A59">
              <w:rPr>
                <w:rFonts w:eastAsia="Courier New"/>
                <w:b/>
                <w:color w:val="000000"/>
                <w:kern w:val="16"/>
                <w:sz w:val="20"/>
              </w:rPr>
              <w:t>Усього поточних зобов’язань та забезпечень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Times New Roman"/>
                <w:color w:val="00000A"/>
                <w:kern w:val="16"/>
                <w:sz w:val="20"/>
              </w:rPr>
            </w:pPr>
            <w:r>
              <w:rPr>
                <w:rFonts w:eastAsia="Times New Roman"/>
                <w:color w:val="00000A"/>
                <w:kern w:val="16"/>
                <w:sz w:val="20"/>
              </w:rPr>
              <w:t>6,8</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Times New Roman"/>
                <w:b/>
                <w:bCs/>
                <w:color w:val="00000A"/>
                <w:kern w:val="16"/>
                <w:sz w:val="20"/>
              </w:rPr>
            </w:pPr>
            <w:r>
              <w:rPr>
                <w:rFonts w:eastAsia="Times New Roman"/>
                <w:b/>
                <w:bCs/>
                <w:color w:val="00000A"/>
                <w:kern w:val="16"/>
                <w:sz w:val="20"/>
              </w:rPr>
              <w:t>20,9</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bCs/>
                <w:color w:val="000000"/>
                <w:kern w:val="16"/>
                <w:sz w:val="20"/>
              </w:rPr>
            </w:pPr>
            <w:r w:rsidRPr="00FE6A59">
              <w:rPr>
                <w:rFonts w:eastAsia="Courier New"/>
                <w:b/>
                <w:bCs/>
                <w:color w:val="000000"/>
                <w:kern w:val="16"/>
                <w:sz w:val="20"/>
              </w:rPr>
              <w:t>Власний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Зареєстрований (пайовий)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r w:rsidRPr="00FE6A59">
              <w:rPr>
                <w:rFonts w:eastAsia="Times New Roman"/>
                <w:color w:val="00000A"/>
                <w:kern w:val="16"/>
                <w:sz w:val="20"/>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r w:rsidRPr="00FE6A59">
              <w:rPr>
                <w:rFonts w:eastAsia="Times New Roman"/>
                <w:color w:val="00000A"/>
                <w:kern w:val="16"/>
                <w:sz w:val="20"/>
              </w:rPr>
              <w:t>1000</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Резервний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7.3</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Капітал у дооцінках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Нерозподілений прибуток (непокритийзбиток)</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790.6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922.1</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власного капіталу</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b/>
                <w:bCs/>
                <w:color w:val="00000A"/>
                <w:kern w:val="16"/>
                <w:sz w:val="20"/>
                <w:lang w:val="en-US"/>
              </w:rPr>
              <w:t>1797.9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val="en-US"/>
              </w:rPr>
            </w:pPr>
            <w:r w:rsidRPr="00FE6A59">
              <w:rPr>
                <w:rFonts w:eastAsia="Times New Roman"/>
                <w:b/>
                <w:bCs/>
                <w:color w:val="00000A"/>
                <w:kern w:val="16"/>
                <w:sz w:val="20"/>
                <w:lang w:val="en-US"/>
              </w:rPr>
              <w:t>1929.4</w:t>
            </w:r>
          </w:p>
        </w:tc>
      </w:tr>
      <w:tr w:rsidR="00CC74D1" w:rsidRPr="00FE6A59" w:rsidTr="00FE6A59">
        <w:trPr>
          <w:trHeight w:val="287"/>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color w:val="00000A"/>
                <w:kern w:val="16"/>
                <w:sz w:val="20"/>
                <w:lang w:val="en-US"/>
              </w:rPr>
            </w:pPr>
            <w:r w:rsidRPr="00FE6A59">
              <w:rPr>
                <w:rFonts w:eastAsia="Times New Roman"/>
                <w:b/>
                <w:color w:val="00000A"/>
                <w:kern w:val="16"/>
                <w:sz w:val="20"/>
                <w:lang w:val="en-US"/>
              </w:rPr>
              <w:t>1804.7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lang w:val="en-US"/>
              </w:rPr>
            </w:pPr>
            <w:r w:rsidRPr="00FE6A59">
              <w:rPr>
                <w:rFonts w:eastAsia="Times New Roman"/>
                <w:b/>
                <w:bCs/>
                <w:color w:val="00000A"/>
                <w:kern w:val="16"/>
                <w:sz w:val="20"/>
                <w:lang w:val="en-US"/>
              </w:rPr>
              <w:t>1958.3</w:t>
            </w:r>
          </w:p>
        </w:tc>
      </w:tr>
    </w:tbl>
    <w:p w:rsidR="00331FFC" w:rsidRDefault="00331FFC" w:rsidP="00A425B8">
      <w:pPr>
        <w:keepNext/>
        <w:keepLines/>
        <w:widowControl w:val="0"/>
        <w:tabs>
          <w:tab w:val="num" w:pos="0"/>
        </w:tabs>
        <w:suppressAutoHyphens/>
        <w:jc w:val="center"/>
        <w:rPr>
          <w:rFonts w:eastAsia="Courier New"/>
          <w:b/>
          <w:bCs/>
          <w:kern w:val="16"/>
          <w:sz w:val="28"/>
          <w:szCs w:val="28"/>
          <w:lang w:eastAsia="uk-UA"/>
        </w:rPr>
      </w:pPr>
      <w:bookmarkStart w:id="0" w:name="_Toc327360008"/>
    </w:p>
    <w:p w:rsidR="00331FFC" w:rsidRDefault="00331FFC" w:rsidP="00A425B8">
      <w:pPr>
        <w:keepNext/>
        <w:keepLines/>
        <w:widowControl w:val="0"/>
        <w:tabs>
          <w:tab w:val="num" w:pos="0"/>
        </w:tabs>
        <w:suppressAutoHyphens/>
        <w:jc w:val="center"/>
        <w:rPr>
          <w:rFonts w:eastAsia="Courier New"/>
          <w:b/>
          <w:bCs/>
          <w:kern w:val="16"/>
          <w:sz w:val="28"/>
          <w:szCs w:val="28"/>
          <w:lang w:eastAsia="uk-UA"/>
        </w:rPr>
      </w:pPr>
    </w:p>
    <w:p w:rsidR="00A425B8" w:rsidRPr="00A425B8" w:rsidRDefault="00A425B8" w:rsidP="00A425B8">
      <w:pPr>
        <w:keepNext/>
        <w:keepLines/>
        <w:widowControl w:val="0"/>
        <w:tabs>
          <w:tab w:val="num" w:pos="0"/>
        </w:tabs>
        <w:suppressAutoHyphens/>
        <w:jc w:val="center"/>
        <w:rPr>
          <w:rFonts w:ascii="Cambria" w:eastAsia="Courier New" w:hAnsi="Cambria" w:cs="Courier New"/>
          <w:b/>
          <w:bCs/>
          <w:kern w:val="16"/>
          <w:sz w:val="28"/>
          <w:szCs w:val="28"/>
          <w:lang w:eastAsia="uk-UA"/>
        </w:rPr>
      </w:pPr>
      <w:r w:rsidRPr="00A425B8">
        <w:rPr>
          <w:rFonts w:eastAsia="Courier New"/>
          <w:b/>
          <w:bCs/>
          <w:kern w:val="16"/>
          <w:sz w:val="28"/>
          <w:szCs w:val="28"/>
          <w:lang w:eastAsia="uk-UA"/>
        </w:rPr>
        <w:t xml:space="preserve">Звіт </w:t>
      </w:r>
      <w:bookmarkEnd w:id="0"/>
      <w:r w:rsidRPr="00A425B8">
        <w:rPr>
          <w:rFonts w:eastAsia="Courier New"/>
          <w:b/>
          <w:bCs/>
          <w:kern w:val="16"/>
          <w:sz w:val="28"/>
          <w:szCs w:val="28"/>
          <w:lang w:eastAsia="uk-UA"/>
        </w:rPr>
        <w:t>про фінансові результати (Звіт про сукупний дохід)</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за рік, що закінчився 31 грудня 2020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lastRenderedPageBreak/>
        <w:t>(в тис. гривень)</w:t>
      </w:r>
    </w:p>
    <w:tbl>
      <w:tblPr>
        <w:tblW w:w="9072" w:type="dxa"/>
        <w:tblInd w:w="109" w:type="dxa"/>
        <w:tblLayout w:type="fixed"/>
        <w:tblLook w:val="0000"/>
      </w:tblPr>
      <w:tblGrid>
        <w:gridCol w:w="5074"/>
        <w:gridCol w:w="1241"/>
        <w:gridCol w:w="1377"/>
        <w:gridCol w:w="1380"/>
      </w:tblGrid>
      <w:tr w:rsidR="00FE6A59" w:rsidRPr="00A425B8" w:rsidTr="00331FFC">
        <w:trPr>
          <w:trHeight w:val="276"/>
        </w:trPr>
        <w:tc>
          <w:tcPr>
            <w:tcW w:w="5245"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w:t>
            </w:r>
          </w:p>
        </w:tc>
        <w:tc>
          <w:tcPr>
            <w:tcW w:w="1277"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примітки</w:t>
            </w:r>
          </w:p>
        </w:tc>
        <w:tc>
          <w:tcPr>
            <w:tcW w:w="1417"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2019 рік</w:t>
            </w:r>
          </w:p>
        </w:tc>
        <w:tc>
          <w:tcPr>
            <w:tcW w:w="1421"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2020 рік</w:t>
            </w:r>
          </w:p>
        </w:tc>
      </w:tr>
      <w:tr w:rsidR="00FE6A59" w:rsidRPr="00A425B8" w:rsidTr="00331FFC">
        <w:trPr>
          <w:trHeight w:val="137"/>
        </w:trPr>
        <w:tc>
          <w:tcPr>
            <w:tcW w:w="5245" w:type="dxa"/>
            <w:tcBorders>
              <w:top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p>
        </w:tc>
        <w:tc>
          <w:tcPr>
            <w:tcW w:w="1277" w:type="dxa"/>
            <w:tcBorders>
              <w:top w:val="single" w:sz="4" w:space="0" w:color="00000A"/>
              <w:bottom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color w:val="000000"/>
                <w:kern w:val="16"/>
                <w:sz w:val="20"/>
              </w:rPr>
            </w:pPr>
          </w:p>
        </w:tc>
        <w:tc>
          <w:tcPr>
            <w:tcW w:w="1417"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rPr>
                <w:rFonts w:eastAsia="Courier New"/>
                <w:color w:val="000000"/>
                <w:kern w:val="16"/>
                <w:sz w:val="20"/>
              </w:rPr>
            </w:pPr>
          </w:p>
        </w:tc>
        <w:tc>
          <w:tcPr>
            <w:tcW w:w="1421"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279"/>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Чистий дохід від реалізації продукції (товарів, робіт, послуг)</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AC07F2">
            <w:pPr>
              <w:widowControl w:val="0"/>
              <w:suppressAutoHyphens/>
              <w:jc w:val="center"/>
              <w:rPr>
                <w:rFonts w:eastAsia="Courier New"/>
                <w:color w:val="000000"/>
                <w:kern w:val="16"/>
                <w:sz w:val="20"/>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val="en-US" w:eastAsia="uk-UA"/>
              </w:rPr>
            </w:pPr>
            <w:r w:rsidRPr="00331FFC">
              <w:rPr>
                <w:rFonts w:eastAsia="Courier New"/>
                <w:color w:val="000000"/>
                <w:kern w:val="16"/>
                <w:sz w:val="20"/>
                <w:lang w:val="en-US" w:eastAsia="uk-UA"/>
              </w:rPr>
              <w:t>2666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2463</w:t>
            </w:r>
          </w:p>
        </w:tc>
      </w:tr>
      <w:tr w:rsidR="00FE6A59" w:rsidRPr="00A425B8" w:rsidTr="00331FFC">
        <w:trPr>
          <w:trHeight w:val="371"/>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доходи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Усьогодоходу</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lang w:eastAsia="ru-RU"/>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Cs/>
                <w:color w:val="000000"/>
                <w:kern w:val="16"/>
                <w:sz w:val="20"/>
              </w:rPr>
            </w:pPr>
            <w:r w:rsidRPr="00A425B8">
              <w:rPr>
                <w:rFonts w:eastAsia="Courier New"/>
                <w:bCs/>
                <w:color w:val="000000"/>
                <w:kern w:val="16"/>
                <w:sz w:val="20"/>
              </w:rPr>
              <w:t>Собівартість реалізованої продукції (товарів, робіт, послуг)</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val="en-US"/>
              </w:rPr>
            </w:pPr>
            <w:r w:rsidRPr="00331FFC">
              <w:rPr>
                <w:rFonts w:eastAsia="Courier New"/>
                <w:color w:val="000000"/>
                <w:kern w:val="16"/>
                <w:sz w:val="20"/>
                <w:lang w:val="en-US"/>
              </w:rPr>
              <w:t>(2066)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(1830)</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Адміністративні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val="en-US" w:eastAsia="uk-UA"/>
              </w:rPr>
            </w:pPr>
            <w:r w:rsidRPr="00331FFC">
              <w:rPr>
                <w:rFonts w:eastAsia="Courier New"/>
                <w:color w:val="000000"/>
                <w:kern w:val="16"/>
                <w:sz w:val="20"/>
                <w:lang w:val="en-US" w:eastAsia="uk-UA"/>
              </w:rPr>
              <w:t>(440)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(595)</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Витрати на збут</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Усього витрат</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color w:val="000000"/>
                <w:kern w:val="16"/>
                <w:sz w:val="20"/>
                <w:lang w:eastAsia="uk-UA"/>
              </w:rPr>
            </w:pPr>
            <w:r w:rsidRPr="00A425B8">
              <w:rPr>
                <w:rFonts w:eastAsia="Courier New"/>
                <w:b/>
                <w:color w:val="000000"/>
                <w:kern w:val="16"/>
                <w:sz w:val="20"/>
                <w:lang w:eastAsia="uk-UA"/>
              </w:rPr>
              <w:t>Фінансовий результат від операційної діяльності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lang w:val="en-US"/>
              </w:rPr>
            </w:pPr>
            <w:r w:rsidRPr="00331FFC">
              <w:rPr>
                <w:rFonts w:eastAsia="Times New Roman"/>
                <w:b/>
                <w:bCs/>
                <w:color w:val="00000A"/>
                <w:kern w:val="16"/>
                <w:sz w:val="20"/>
                <w:lang w:val="en-US"/>
              </w:rPr>
              <w:t>160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lang w:val="en-US"/>
              </w:rPr>
            </w:pPr>
            <w:r w:rsidRPr="00331FFC">
              <w:rPr>
                <w:rFonts w:eastAsia="Times New Roman"/>
                <w:b/>
                <w:bCs/>
                <w:color w:val="00000A"/>
                <w:kern w:val="16"/>
                <w:sz w:val="20"/>
                <w:lang w:val="en-US"/>
              </w:rPr>
              <w:t>38</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фінансові доходи</w:t>
            </w:r>
          </w:p>
          <w:p w:rsidR="00FE6A59" w:rsidRPr="00A425B8" w:rsidRDefault="00FE6A59" w:rsidP="00FE6A59">
            <w:pPr>
              <w:widowControl w:val="0"/>
              <w:suppressAutoHyphens/>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доходи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Cs/>
                <w:color w:val="000000"/>
                <w:kern w:val="16"/>
                <w:sz w:val="20"/>
              </w:rPr>
            </w:pPr>
            <w:r w:rsidRPr="00A425B8">
              <w:rPr>
                <w:rFonts w:eastAsia="Courier New"/>
                <w:bCs/>
                <w:color w:val="000000"/>
                <w:kern w:val="16"/>
                <w:sz w:val="20"/>
              </w:rPr>
              <w:t>Фінансові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32"/>
        </w:trPr>
        <w:tc>
          <w:tcPr>
            <w:tcW w:w="5245" w:type="dxa"/>
            <w:tcBorders>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Фінансовий результат до оподаткування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AC07F2">
            <w:pPr>
              <w:widowControl w:val="0"/>
              <w:spacing w:after="200" w:line="276" w:lineRule="auto"/>
              <w:rPr>
                <w:rFonts w:ascii="Calibri" w:eastAsia="SimSun" w:hAnsi="Calibri" w:cs="Tahoma"/>
                <w:kern w:val="16"/>
                <w:sz w:val="18"/>
                <w:szCs w:val="18"/>
              </w:rPr>
            </w:pPr>
            <w:r w:rsidRPr="00331FFC">
              <w:rPr>
                <w:rFonts w:eastAsia="SimSun"/>
                <w:kern w:val="16"/>
                <w:sz w:val="18"/>
                <w:szCs w:val="18"/>
              </w:rPr>
              <w:t>6.</w:t>
            </w:r>
            <w:r w:rsidR="00AC07F2" w:rsidRPr="00331FFC">
              <w:rPr>
                <w:rFonts w:eastAsia="SimSun"/>
                <w:kern w:val="16"/>
                <w:sz w:val="18"/>
                <w:szCs w:val="18"/>
              </w:rPr>
              <w:t>7</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b/>
                <w:bCs/>
                <w:color w:val="000000"/>
                <w:kern w:val="16"/>
                <w:sz w:val="20"/>
                <w:lang w:val="en-US" w:eastAsia="uk-UA"/>
              </w:rPr>
            </w:pPr>
            <w:r w:rsidRPr="00331FFC">
              <w:rPr>
                <w:rFonts w:eastAsia="Courier New"/>
                <w:b/>
                <w:bCs/>
                <w:color w:val="000000"/>
                <w:kern w:val="16"/>
                <w:sz w:val="20"/>
                <w:lang w:val="en-US" w:eastAsia="uk-UA"/>
              </w:rPr>
              <w:t>160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lang w:val="en-US"/>
              </w:rPr>
            </w:pPr>
            <w:r w:rsidRPr="00331FFC">
              <w:rPr>
                <w:rFonts w:eastAsia="Times New Roman"/>
                <w:b/>
                <w:bCs/>
                <w:color w:val="00000A"/>
                <w:kern w:val="16"/>
                <w:sz w:val="20"/>
                <w:lang w:val="en-US"/>
              </w:rPr>
              <w:t>38</w:t>
            </w:r>
          </w:p>
        </w:tc>
      </w:tr>
      <w:tr w:rsidR="00FE6A59" w:rsidRPr="00A425B8" w:rsidTr="00331FFC">
        <w:trPr>
          <w:trHeight w:val="332"/>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Витрати (дохід) з податку на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val="en-US" w:eastAsia="uk-UA"/>
              </w:rPr>
            </w:pPr>
            <w:r w:rsidRPr="00331FFC">
              <w:rPr>
                <w:rFonts w:eastAsia="Courier New"/>
                <w:color w:val="000000"/>
                <w:kern w:val="16"/>
                <w:sz w:val="20"/>
                <w:lang w:val="en-US" w:eastAsia="uk-UA"/>
              </w:rPr>
              <w:t>-29</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-7</w:t>
            </w:r>
          </w:p>
        </w:tc>
      </w:tr>
      <w:tr w:rsidR="00FE6A59" w:rsidRPr="00A425B8" w:rsidTr="00331FFC">
        <w:trPr>
          <w:trHeight w:val="333"/>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i/>
                <w:iCs/>
                <w:color w:val="000000"/>
                <w:kern w:val="16"/>
                <w:szCs w:val="24"/>
              </w:rPr>
            </w:pPr>
            <w:r w:rsidRPr="00A425B8">
              <w:rPr>
                <w:rFonts w:eastAsia="Courier New"/>
                <w:b/>
                <w:bCs/>
                <w:i/>
                <w:iCs/>
                <w:color w:val="000000"/>
                <w:kern w:val="16"/>
                <w:szCs w:val="24"/>
              </w:rPr>
              <w:t>Чистий фінансовий результат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b/>
                <w:color w:val="000000"/>
                <w:kern w:val="16"/>
                <w:sz w:val="20"/>
                <w:lang w:val="en-US" w:eastAsia="uk-UA"/>
              </w:rPr>
            </w:pPr>
            <w:r w:rsidRPr="00331FFC">
              <w:rPr>
                <w:rFonts w:eastAsia="Courier New"/>
                <w:b/>
                <w:color w:val="000000"/>
                <w:kern w:val="16"/>
                <w:sz w:val="20"/>
                <w:lang w:val="en-US" w:eastAsia="uk-UA"/>
              </w:rPr>
              <w:t>131</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color w:val="00000A"/>
                <w:kern w:val="16"/>
                <w:sz w:val="20"/>
                <w:lang w:val="en-US"/>
              </w:rPr>
            </w:pPr>
            <w:r w:rsidRPr="00331FFC">
              <w:rPr>
                <w:rFonts w:eastAsia="Times New Roman"/>
                <w:b/>
                <w:color w:val="00000A"/>
                <w:kern w:val="16"/>
                <w:sz w:val="20"/>
                <w:lang w:val="en-US"/>
              </w:rPr>
              <w:t>31</w:t>
            </w:r>
          </w:p>
        </w:tc>
      </w:tr>
      <w:tr w:rsidR="00FE6A59" w:rsidRPr="00A425B8" w:rsidTr="00331FFC">
        <w:trPr>
          <w:trHeight w:val="186"/>
        </w:trPr>
        <w:tc>
          <w:tcPr>
            <w:tcW w:w="5245" w:type="dxa"/>
            <w:tcBorders>
              <w:top w:val="single" w:sz="4" w:space="0" w:color="00000A"/>
            </w:tcBorders>
            <w:tcMar>
              <w:top w:w="0" w:type="dxa"/>
              <w:left w:w="108" w:type="dxa"/>
              <w:bottom w:w="0" w:type="dxa"/>
              <w:right w:w="108" w:type="dxa"/>
            </w:tcMar>
            <w:vAlign w:val="center"/>
          </w:tcPr>
          <w:p w:rsidR="00FE6A59" w:rsidRPr="00A425B8" w:rsidRDefault="00FE6A59" w:rsidP="00FE6A59">
            <w:pPr>
              <w:suppressAutoHyphens/>
              <w:rPr>
                <w:rFonts w:eastAsia="Courier New"/>
                <w:b/>
                <w:bCs/>
                <w:color w:val="000000"/>
                <w:kern w:val="16"/>
                <w:sz w:val="20"/>
              </w:rPr>
            </w:pPr>
          </w:p>
        </w:tc>
        <w:tc>
          <w:tcPr>
            <w:tcW w:w="1277" w:type="dxa"/>
            <w:tcBorders>
              <w:top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b/>
                <w:bCs/>
                <w:color w:val="000000"/>
                <w:kern w:val="16"/>
                <w:sz w:val="20"/>
              </w:rPr>
            </w:pPr>
          </w:p>
        </w:tc>
        <w:tc>
          <w:tcPr>
            <w:tcW w:w="1417" w:type="dxa"/>
            <w:tcBorders>
              <w:top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right"/>
              <w:rPr>
                <w:rFonts w:eastAsia="Courier New"/>
                <w:color w:val="000000"/>
                <w:kern w:val="16"/>
                <w:sz w:val="20"/>
                <w:lang w:eastAsia="uk-UA"/>
              </w:rPr>
            </w:pPr>
          </w:p>
        </w:tc>
        <w:tc>
          <w:tcPr>
            <w:tcW w:w="1421" w:type="dxa"/>
            <w:tcBorders>
              <w:top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bl>
    <w:p w:rsidR="00A425B8" w:rsidRPr="00A425B8" w:rsidRDefault="00A425B8" w:rsidP="00A425B8">
      <w:pPr>
        <w:widowControl w:val="0"/>
        <w:shd w:val="clear" w:color="auto" w:fill="FFFFFF"/>
        <w:suppressAutoHyphens/>
        <w:ind w:hanging="620"/>
        <w:jc w:val="both"/>
        <w:rPr>
          <w:rFonts w:eastAsia="Courier New"/>
          <w:color w:val="00000A"/>
          <w:kern w:val="16"/>
          <w:sz w:val="20"/>
        </w:rPr>
      </w:pPr>
    </w:p>
    <w:p w:rsidR="00A425B8" w:rsidRPr="00A425B8" w:rsidRDefault="00A425B8" w:rsidP="00A425B8">
      <w:pPr>
        <w:keepNext/>
        <w:keepLines/>
        <w:widowControl w:val="0"/>
        <w:numPr>
          <w:ilvl w:val="1"/>
          <w:numId w:val="0"/>
        </w:numPr>
        <w:tabs>
          <w:tab w:val="num" w:pos="0"/>
        </w:tabs>
        <w:suppressAutoHyphens/>
        <w:spacing w:before="200" w:line="276" w:lineRule="auto"/>
        <w:outlineLvl w:val="1"/>
        <w:rPr>
          <w:rFonts w:ascii="Cambria" w:eastAsia="Courier New" w:hAnsi="Cambria" w:cs="Courier New"/>
          <w:b/>
          <w:bCs/>
          <w:color w:val="4F81BD"/>
          <w:kern w:val="16"/>
          <w:sz w:val="26"/>
          <w:szCs w:val="26"/>
          <w:lang w:eastAsia="ru-RU"/>
        </w:rPr>
      </w:pPr>
      <w:bookmarkStart w:id="1" w:name="_Toc327360009"/>
      <w:bookmarkStart w:id="2" w:name="_Toc52162883"/>
      <w:bookmarkStart w:id="3" w:name="_Toc117425540"/>
      <w:r w:rsidRPr="00A425B8">
        <w:rPr>
          <w:rFonts w:eastAsia="Courier New"/>
          <w:b/>
          <w:bCs/>
          <w:kern w:val="16"/>
          <w:sz w:val="26"/>
          <w:szCs w:val="26"/>
          <w:lang w:eastAsia="ru-RU"/>
        </w:rPr>
        <w:t xml:space="preserve">Звіт про рух грошових </w:t>
      </w:r>
      <w:bookmarkEnd w:id="1"/>
      <w:bookmarkEnd w:id="2"/>
      <w:bookmarkEnd w:id="3"/>
      <w:r w:rsidRPr="00A425B8">
        <w:rPr>
          <w:rFonts w:eastAsia="Courier New"/>
          <w:b/>
          <w:bCs/>
          <w:kern w:val="16"/>
          <w:sz w:val="26"/>
          <w:szCs w:val="26"/>
          <w:lang w:eastAsia="ru-RU"/>
        </w:rPr>
        <w:t>коштів (за прямим методом</w:t>
      </w:r>
      <w:r w:rsidRPr="00A425B8">
        <w:rPr>
          <w:rFonts w:eastAsia="Courier New"/>
          <w:b/>
          <w:bCs/>
          <w:color w:val="4F81BD"/>
          <w:kern w:val="16"/>
          <w:sz w:val="26"/>
          <w:szCs w:val="26"/>
          <w:lang w:eastAsia="ru-RU"/>
        </w:rPr>
        <w:t>)</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2020 рік</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316" w:type="dxa"/>
        <w:tblInd w:w="-743" w:type="dxa"/>
        <w:tblLayout w:type="fixed"/>
        <w:tblLook w:val="0000"/>
      </w:tblPr>
      <w:tblGrid>
        <w:gridCol w:w="6380"/>
        <w:gridCol w:w="1243"/>
        <w:gridCol w:w="1243"/>
        <w:gridCol w:w="1243"/>
        <w:gridCol w:w="207"/>
      </w:tblGrid>
      <w:tr w:rsidR="00FE6A59" w:rsidRPr="00FE6A59" w:rsidTr="00FE6A59">
        <w:trPr>
          <w:trHeight w:val="318"/>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i/>
                <w:iCs/>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rPr>
              <w:t>№ примітки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shd w:val="clear" w:color="auto" w:fill="FFFFFF"/>
              </w:rPr>
              <w:t>2019рік</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shd w:val="clear" w:color="auto" w:fill="FFFFFF"/>
              </w:rPr>
              <w:t>2020 рік</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Рух коштів у результаті операційної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p>
        </w:tc>
      </w:tr>
      <w:tr w:rsidR="00FE6A59" w:rsidRPr="00FE6A59" w:rsidTr="00FE6A59">
        <w:trPr>
          <w:trHeight w:val="366"/>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ind w:firstLine="200"/>
              <w:rPr>
                <w:rFonts w:eastAsia="Courier New"/>
                <w:color w:val="000000"/>
                <w:kern w:val="16"/>
                <w:sz w:val="20"/>
                <w:shd w:val="clear" w:color="auto" w:fill="FFFFFF"/>
                <w:lang w:eastAsia="uk-UA"/>
              </w:rPr>
            </w:pPr>
          </w:p>
          <w:p w:rsidR="00FE6A59" w:rsidRPr="00FE6A59" w:rsidRDefault="00FE6A59" w:rsidP="00FE6A59">
            <w:pPr>
              <w:widowControl w:val="0"/>
              <w:suppressAutoHyphens/>
              <w:ind w:firstLine="200"/>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Надходження від: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shd w:val="clear" w:color="auto" w:fill="FFFFFF"/>
                <w:lang w:val="en-US" w:eastAsia="uk-UA"/>
              </w:rPr>
            </w:pPr>
            <w:r w:rsidRPr="00FE6A59">
              <w:rPr>
                <w:rFonts w:eastAsia="Courier New"/>
                <w:b/>
                <w:color w:val="000000"/>
                <w:kern w:val="16"/>
                <w:sz w:val="20"/>
                <w:shd w:val="clear" w:color="auto" w:fill="FFFFFF"/>
                <w:lang w:val="en-US" w:eastAsia="uk-UA"/>
              </w:rPr>
              <w:t>2666</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2463</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ind w:firstLine="2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Реалізації продукції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color w:val="00000A"/>
                <w:kern w:val="16"/>
                <w:sz w:val="20"/>
                <w:shd w:val="clear" w:color="auto" w:fill="FFFFFF"/>
                <w:lang w:eastAsia="ru-RU"/>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Надходження від боржників неустойки (штрафів, пені)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Надходження фін установ від повернення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8022</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8863</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Повернення коштів виданих в підзвіт</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Інші надходження</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color w:val="000000"/>
                <w:kern w:val="16"/>
                <w:szCs w:val="24"/>
                <w:lang w:eastAsia="uk-UA"/>
              </w:rPr>
            </w:pPr>
            <w:r w:rsidRPr="00FE6A59">
              <w:rPr>
                <w:rFonts w:eastAsia="Courier New"/>
                <w:b/>
                <w:bCs/>
                <w:color w:val="000000"/>
                <w:kern w:val="16"/>
                <w:sz w:val="20"/>
                <w:shd w:val="clear" w:color="auto" w:fill="FFFFFF"/>
                <w:lang w:eastAsia="uk-UA"/>
              </w:rPr>
              <w:t>Витрачання на оплату: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4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(2226)</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(2127)</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4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Праці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(209)</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(213)</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Відрахування на соціальні заходи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(52)</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(49)</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Cs w:val="24"/>
                <w:lang w:eastAsia="uk-UA"/>
              </w:rPr>
            </w:pPr>
            <w:r w:rsidRPr="00FE6A59">
              <w:rPr>
                <w:rFonts w:eastAsia="Courier New"/>
                <w:color w:val="000000"/>
                <w:kern w:val="16"/>
                <w:sz w:val="20"/>
                <w:shd w:val="clear" w:color="auto" w:fill="FFFFFF"/>
                <w:lang w:eastAsia="uk-UA"/>
              </w:rPr>
              <w:t xml:space="preserve">                 Зобов’язань із податків і зборів, із них:</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(10)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602"/>
              <w:rPr>
                <w:rFonts w:eastAsia="Courier New"/>
                <w:color w:val="000000"/>
                <w:kern w:val="16"/>
                <w:sz w:val="16"/>
                <w:szCs w:val="16"/>
                <w:shd w:val="clear" w:color="auto" w:fill="FFFFFF"/>
                <w:lang w:eastAsia="uk-UA"/>
              </w:rPr>
            </w:pPr>
            <w:r w:rsidRPr="00FE6A59">
              <w:rPr>
                <w:rFonts w:eastAsia="Courier New"/>
                <w:color w:val="000000"/>
                <w:kern w:val="16"/>
                <w:sz w:val="16"/>
                <w:szCs w:val="16"/>
                <w:shd w:val="clear" w:color="auto" w:fill="FFFFFF"/>
                <w:lang w:eastAsia="uk-UA"/>
              </w:rPr>
              <w:t xml:space="preserve">       Витрачення на оплату зобов`язань з податку на прибуток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(7)</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(6)</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886"/>
              <w:rPr>
                <w:rFonts w:eastAsia="Courier New"/>
                <w:color w:val="000000"/>
                <w:kern w:val="16"/>
                <w:sz w:val="16"/>
                <w:szCs w:val="16"/>
                <w:shd w:val="clear" w:color="auto" w:fill="FFFFFF"/>
                <w:lang w:eastAsia="uk-UA"/>
              </w:rPr>
            </w:pPr>
            <w:r w:rsidRPr="00FE6A59">
              <w:rPr>
                <w:rFonts w:eastAsia="Courier New"/>
                <w:color w:val="000000"/>
                <w:kern w:val="16"/>
                <w:sz w:val="16"/>
                <w:szCs w:val="16"/>
                <w:shd w:val="clear" w:color="auto" w:fill="FFFFFF"/>
                <w:lang w:eastAsia="uk-UA"/>
              </w:rPr>
              <w:t>Витрачення на оплату зобов`язань з податку на додану вартість</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886"/>
              <w:rPr>
                <w:rFonts w:eastAsia="Courier New"/>
                <w:color w:val="000000"/>
                <w:kern w:val="16"/>
                <w:sz w:val="16"/>
                <w:szCs w:val="16"/>
                <w:shd w:val="clear" w:color="auto" w:fill="FFFFFF"/>
                <w:lang w:eastAsia="uk-UA"/>
              </w:rPr>
            </w:pPr>
            <w:r w:rsidRPr="00FE6A59">
              <w:rPr>
                <w:rFonts w:ascii="Courier New" w:eastAsia="Courier New" w:hAnsi="Courier New" w:cs="Courier New"/>
                <w:color w:val="000000"/>
                <w:kern w:val="16"/>
                <w:sz w:val="16"/>
                <w:szCs w:val="16"/>
                <w:lang w:eastAsia="uk-UA"/>
              </w:rPr>
              <w:t>Витрачання на оплату  зобов’язань з інших податків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(3)</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(2)</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Витрачання на оплату авансів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Витрачання фін установ від надання позик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(8415)</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(8705)</w:t>
            </w:r>
          </w:p>
        </w:tc>
      </w:tr>
      <w:tr w:rsidR="00FE6A59"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lastRenderedPageBreak/>
              <w:t>Видача коштів в підзвіт</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80"/>
        </w:trPr>
        <w:tc>
          <w:tcPr>
            <w:tcW w:w="6380" w:type="dxa"/>
            <w:tcBorders>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Інші витрачання</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r>
      <w:tr w:rsidR="00FE6A59" w:rsidRPr="00FE6A59" w:rsidTr="00FE6A59">
        <w:trPr>
          <w:trHeight w:val="20"/>
        </w:trPr>
        <w:tc>
          <w:tcPr>
            <w:tcW w:w="6380" w:type="dxa"/>
            <w:tcBorders>
              <w:bottom w:val="single" w:sz="4" w:space="0" w:color="00000A"/>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Чистий рух коштів від операційної діяльності</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-234</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lang w:val="en-US"/>
              </w:rPr>
            </w:pPr>
            <w:r w:rsidRPr="00FE6A59">
              <w:rPr>
                <w:rFonts w:eastAsia="Times New Roman"/>
                <w:b/>
                <w:bCs/>
                <w:color w:val="00000A"/>
                <w:kern w:val="16"/>
                <w:sz w:val="20"/>
                <w:shd w:val="clear" w:color="auto" w:fill="FFFFFF"/>
                <w:lang w:val="en-US"/>
              </w:rPr>
              <w:t>216</w:t>
            </w:r>
          </w:p>
        </w:tc>
      </w:tr>
      <w:tr w:rsidR="00FE6A59" w:rsidRPr="00FE6A59" w:rsidTr="00FE6A59">
        <w:trPr>
          <w:trHeight w:val="20"/>
        </w:trPr>
        <w:tc>
          <w:tcPr>
            <w:tcW w:w="6380" w:type="dxa"/>
            <w:tcBorders>
              <w:top w:val="single" w:sz="4" w:space="0" w:color="00000A"/>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shd w:val="clear" w:color="auto" w:fill="FFFFFF"/>
                <w:lang w:eastAsia="uk-UA"/>
              </w:rPr>
            </w:pPr>
          </w:p>
          <w:p w:rsidR="00FE6A59" w:rsidRPr="00FE6A59" w:rsidRDefault="00FE6A59" w:rsidP="00FE6A59">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Рух коштів урезультаті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p>
        </w:tc>
      </w:tr>
      <w:tr w:rsidR="00FE6A59" w:rsidRPr="00FE6A59" w:rsidTr="00FE6A59">
        <w:trPr>
          <w:trHeight w:val="109"/>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Надходження від реалізації:</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highlight w:val="yellow"/>
              </w:rPr>
            </w:pPr>
          </w:p>
        </w:tc>
      </w:tr>
      <w:tr w:rsidR="00FE6A59" w:rsidRPr="00FE6A59" w:rsidTr="00FE6A59">
        <w:trPr>
          <w:trHeight w:val="109"/>
        </w:trPr>
        <w:tc>
          <w:tcPr>
            <w:tcW w:w="6380" w:type="dxa"/>
            <w:tcBorders>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Надходження від отриманих відсотків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color w:val="00000A"/>
                <w:kern w:val="16"/>
                <w:sz w:val="20"/>
                <w:shd w:val="clear" w:color="auto" w:fill="FFFFFF"/>
              </w:rPr>
            </w:pPr>
          </w:p>
        </w:tc>
      </w:tr>
      <w:tr w:rsidR="00FE6A59" w:rsidRPr="00FE6A59" w:rsidTr="00FE6A59">
        <w:trPr>
          <w:trHeight w:val="109"/>
        </w:trPr>
        <w:tc>
          <w:tcPr>
            <w:tcW w:w="6380" w:type="dxa"/>
            <w:tcMar>
              <w:top w:w="0" w:type="dxa"/>
              <w:left w:w="108" w:type="dxa"/>
              <w:bottom w:w="0" w:type="dxa"/>
              <w:right w:w="108" w:type="dxa"/>
            </w:tcMar>
            <w:vAlign w:val="center"/>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Витрачання на надання позик</w:t>
            </w:r>
          </w:p>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Інші платежі                                                                                                                 </w:t>
            </w:r>
          </w:p>
        </w:tc>
        <w:tc>
          <w:tcPr>
            <w:tcW w:w="1243" w:type="dxa"/>
            <w:tcBorders>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Cs/>
                <w:color w:val="000000"/>
                <w:kern w:val="16"/>
                <w:sz w:val="20"/>
                <w:lang w:eastAsia="uk-UA"/>
              </w:rPr>
            </w:pPr>
          </w:p>
        </w:tc>
        <w:tc>
          <w:tcPr>
            <w:tcW w:w="1450" w:type="dxa"/>
            <w:gridSpan w:val="2"/>
            <w:tcBorders>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color w:val="00000A"/>
                <w:kern w:val="16"/>
                <w:sz w:val="20"/>
                <w:shd w:val="clear" w:color="auto" w:fill="FFFFFF"/>
              </w:rPr>
            </w:pPr>
          </w:p>
        </w:tc>
      </w:tr>
      <w:tr w:rsidR="00FE6A59" w:rsidRPr="00FE6A59" w:rsidTr="00FE6A59">
        <w:trPr>
          <w:trHeight w:val="20"/>
        </w:trPr>
        <w:tc>
          <w:tcPr>
            <w:tcW w:w="6380"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Чистий рух коштів від інвестиційної діяльності</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p>
        </w:tc>
      </w:tr>
      <w:tr w:rsidR="00FE6A59" w:rsidRPr="00FE6A59" w:rsidTr="00FE6A59">
        <w:trPr>
          <w:gridAfter w:val="1"/>
          <w:wAfter w:w="207" w:type="dxa"/>
          <w:trHeight w:val="20"/>
        </w:trPr>
        <w:tc>
          <w:tcPr>
            <w:tcW w:w="6380" w:type="dxa"/>
            <w:tcBorders>
              <w:top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Рух коштів у результаті фінансової діяльності</w:t>
            </w:r>
          </w:p>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 xml:space="preserve">                  Надходження відотримання позик</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Cs/>
                <w:color w:val="000000"/>
                <w:kern w:val="16"/>
                <w:sz w:val="20"/>
                <w:lang w:eastAsia="uk-UA"/>
              </w:rPr>
            </w:pPr>
          </w:p>
        </w:tc>
      </w:tr>
      <w:tr w:rsidR="00FE6A59" w:rsidRPr="00FE6A59" w:rsidTr="00FE6A59">
        <w:trPr>
          <w:trHeight w:val="20"/>
        </w:trPr>
        <w:tc>
          <w:tcPr>
            <w:tcW w:w="6380" w:type="dxa"/>
            <w:tcMar>
              <w:top w:w="0" w:type="dxa"/>
              <w:left w:w="108" w:type="dxa"/>
              <w:bottom w:w="0" w:type="dxa"/>
              <w:right w:w="108" w:type="dxa"/>
            </w:tcMar>
            <w:vAlign w:val="center"/>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Витрачання на погашення позик</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color w:val="00000A"/>
                <w:kern w:val="16"/>
                <w:sz w:val="20"/>
                <w:shd w:val="clear" w:color="auto" w:fill="FFFFFF"/>
              </w:rPr>
            </w:pPr>
          </w:p>
        </w:tc>
      </w:tr>
      <w:tr w:rsidR="00FE6A59" w:rsidRPr="00FE6A59" w:rsidTr="00FE6A59">
        <w:trPr>
          <w:trHeight w:val="20"/>
        </w:trPr>
        <w:tc>
          <w:tcPr>
            <w:tcW w:w="6380" w:type="dxa"/>
            <w:tcBorders>
              <w:top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Чистий рух коштів від фінансової діяльності</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color w:val="00000A"/>
                <w:kern w:val="16"/>
                <w:sz w:val="20"/>
                <w:shd w:val="clear" w:color="auto" w:fill="FFFFFF"/>
              </w:rPr>
            </w:pPr>
          </w:p>
        </w:tc>
      </w:tr>
      <w:tr w:rsidR="00FE6A59" w:rsidRPr="00FE6A59" w:rsidTr="00FE6A59">
        <w:trPr>
          <w:gridAfter w:val="1"/>
          <w:wAfter w:w="207" w:type="dxa"/>
          <w:trHeight w:val="20"/>
        </w:trPr>
        <w:tc>
          <w:tcPr>
            <w:tcW w:w="6380" w:type="dxa"/>
            <w:tcBorders>
              <w:top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color w:val="000000"/>
                <w:kern w:val="16"/>
                <w:sz w:val="20"/>
                <w:lang w:eastAsia="uk-UA"/>
              </w:rPr>
            </w:pPr>
          </w:p>
          <w:p w:rsidR="00FE6A59" w:rsidRPr="00FE6A59" w:rsidRDefault="00FE6A59" w:rsidP="00FE6A59">
            <w:pPr>
              <w:widowControl w:val="0"/>
              <w:suppressAutoHyphens/>
              <w:rPr>
                <w:rFonts w:eastAsia="Courier New"/>
                <w:b/>
                <w:color w:val="000000"/>
                <w:kern w:val="16"/>
                <w:sz w:val="20"/>
                <w:lang w:eastAsia="uk-UA"/>
              </w:rPr>
            </w:pPr>
            <w:r w:rsidRPr="00FE6A59">
              <w:rPr>
                <w:rFonts w:eastAsia="Courier New"/>
                <w:b/>
                <w:color w:val="000000"/>
                <w:kern w:val="16"/>
                <w:sz w:val="20"/>
                <w:lang w:eastAsia="uk-UA"/>
              </w:rPr>
              <w:t xml:space="preserve">                  Чистий рух грошових коштів за звітний період</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-234</w:t>
            </w:r>
          </w:p>
        </w:tc>
        <w:tc>
          <w:tcPr>
            <w:tcW w:w="1243"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216</w:t>
            </w:r>
          </w:p>
        </w:tc>
      </w:tr>
      <w:tr w:rsidR="00FE6A59" w:rsidRPr="00FE6A59" w:rsidTr="00FE6A59">
        <w:trPr>
          <w:trHeight w:val="20"/>
        </w:trPr>
        <w:tc>
          <w:tcPr>
            <w:tcW w:w="6380" w:type="dxa"/>
            <w:tcMar>
              <w:top w:w="0" w:type="dxa"/>
              <w:left w:w="108" w:type="dxa"/>
              <w:bottom w:w="0" w:type="dxa"/>
              <w:right w:w="108" w:type="dxa"/>
            </w:tcMar>
            <w:vAlign w:val="center"/>
          </w:tcPr>
          <w:p w:rsidR="00FE6A59" w:rsidRPr="00FE6A59" w:rsidRDefault="00FE6A59" w:rsidP="00FE6A59">
            <w:pPr>
              <w:widowControl w:val="0"/>
              <w:suppressAutoHyphens/>
              <w:rPr>
                <w:rFonts w:eastAsia="Times New Roman"/>
                <w:b/>
                <w:color w:val="00000A"/>
                <w:kern w:val="16"/>
                <w:sz w:val="20"/>
                <w:lang w:eastAsia="uk-UA"/>
              </w:rPr>
            </w:pPr>
            <w:r w:rsidRPr="00FE6A59">
              <w:rPr>
                <w:rFonts w:eastAsia="Times New Roman"/>
                <w:b/>
                <w:color w:val="00000A"/>
                <w:kern w:val="16"/>
                <w:sz w:val="20"/>
                <w:lang w:eastAsia="uk-UA"/>
              </w:rPr>
              <w:t xml:space="preserve">                  Залишок коштів на початок року</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val="en-US" w:eastAsia="uk-UA"/>
              </w:rPr>
            </w:pPr>
            <w:r w:rsidRPr="00FE6A59">
              <w:rPr>
                <w:rFonts w:eastAsia="Courier New"/>
                <w:b/>
                <w:bCs/>
                <w:color w:val="000000"/>
                <w:kern w:val="16"/>
                <w:sz w:val="20"/>
                <w:lang w:val="en-US" w:eastAsia="uk-UA"/>
              </w:rPr>
              <w:t>250</w:t>
            </w: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lang w:val="en-US"/>
              </w:rPr>
            </w:pPr>
            <w:r w:rsidRPr="00FE6A59">
              <w:rPr>
                <w:rFonts w:eastAsia="Times New Roman"/>
                <w:b/>
                <w:bCs/>
                <w:color w:val="00000A"/>
                <w:kern w:val="16"/>
                <w:sz w:val="20"/>
                <w:shd w:val="clear" w:color="auto" w:fill="FFFFFF"/>
                <w:lang w:val="en-US"/>
              </w:rPr>
              <w:t>34</w:t>
            </w:r>
          </w:p>
        </w:tc>
      </w:tr>
      <w:tr w:rsidR="00FE6A59" w:rsidRPr="00FE6A59" w:rsidTr="00FE6A59">
        <w:trPr>
          <w:trHeight w:val="20"/>
        </w:trPr>
        <w:tc>
          <w:tcPr>
            <w:tcW w:w="6380" w:type="dxa"/>
            <w:tcMar>
              <w:top w:w="0" w:type="dxa"/>
              <w:left w:w="108" w:type="dxa"/>
              <w:bottom w:w="0" w:type="dxa"/>
              <w:right w:w="108" w:type="dxa"/>
            </w:tcMar>
            <w:vAlign w:val="center"/>
          </w:tcPr>
          <w:p w:rsidR="00FE6A59" w:rsidRPr="00FE6A59" w:rsidRDefault="00FE6A59" w:rsidP="00FE6A59">
            <w:pPr>
              <w:widowControl w:val="0"/>
              <w:suppressAutoHyphens/>
              <w:rPr>
                <w:rFonts w:eastAsia="Times New Roman"/>
                <w:b/>
                <w:color w:val="00000A"/>
                <w:kern w:val="16"/>
                <w:sz w:val="20"/>
                <w:lang w:eastAsia="uk-UA"/>
              </w:rPr>
            </w:pPr>
            <w:r w:rsidRPr="00FE6A59">
              <w:rPr>
                <w:rFonts w:eastAsia="Times New Roman"/>
                <w:b/>
                <w:color w:val="00000A"/>
                <w:kern w:val="16"/>
                <w:sz w:val="20"/>
                <w:lang w:eastAsia="uk-UA"/>
              </w:rPr>
              <w:t xml:space="preserve">                  Вплив зміни валютних курсів на залишок коштів</w:t>
            </w:r>
          </w:p>
        </w:tc>
        <w:tc>
          <w:tcPr>
            <w:tcW w:w="1243" w:type="dxa"/>
            <w:tcBorders>
              <w:top w:val="single" w:sz="4" w:space="0" w:color="auto"/>
              <w:right w:val="single" w:sz="4" w:space="0" w:color="auto"/>
            </w:tcBorders>
            <w:tcMar>
              <w:top w:w="0" w:type="dxa"/>
              <w:left w:w="108" w:type="dxa"/>
              <w:bottom w:w="0" w:type="dxa"/>
              <w:right w:w="108" w:type="dxa"/>
            </w:tcMar>
          </w:tcPr>
          <w:p w:rsidR="00FE6A59" w:rsidRPr="00FE6A59" w:rsidRDefault="00FE6A59"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Times New Roman"/>
                <w:b/>
                <w:bCs/>
                <w:color w:val="00000A"/>
                <w:kern w:val="16"/>
                <w:sz w:val="20"/>
                <w:shd w:val="clear" w:color="auto" w:fill="FFFFFF"/>
              </w:rPr>
            </w:pPr>
          </w:p>
        </w:tc>
      </w:tr>
      <w:tr w:rsidR="00FE6A59" w:rsidRPr="00FE6A59" w:rsidTr="00FE6A59">
        <w:trPr>
          <w:trHeight w:val="20"/>
        </w:trPr>
        <w:tc>
          <w:tcPr>
            <w:tcW w:w="6380"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rPr>
                <w:rFonts w:eastAsia="Courier New"/>
                <w:b/>
                <w:i/>
                <w:color w:val="000000"/>
                <w:kern w:val="16"/>
                <w:szCs w:val="24"/>
                <w:lang w:eastAsia="uk-UA"/>
              </w:rPr>
            </w:pPr>
            <w:r w:rsidRPr="00FE6A59">
              <w:rPr>
                <w:rFonts w:eastAsia="Courier New"/>
                <w:b/>
                <w:i/>
                <w:color w:val="000000"/>
                <w:kern w:val="16"/>
                <w:szCs w:val="24"/>
                <w:lang w:eastAsia="uk-UA"/>
              </w:rPr>
              <w:t xml:space="preserve">               Залишок коштів на кінець року</w:t>
            </w:r>
          </w:p>
        </w:tc>
        <w:tc>
          <w:tcPr>
            <w:tcW w:w="1243" w:type="dxa"/>
            <w:tcBorders>
              <w:bottom w:val="single" w:sz="4" w:space="0" w:color="00000A"/>
            </w:tcBorders>
            <w:tcMar>
              <w:top w:w="0" w:type="dxa"/>
              <w:left w:w="108" w:type="dxa"/>
              <w:bottom w:w="0" w:type="dxa"/>
              <w:right w:w="108" w:type="dxa"/>
            </w:tcMar>
          </w:tcPr>
          <w:p w:rsidR="00FE6A59" w:rsidRPr="00FE6A59" w:rsidRDefault="00FE6A59" w:rsidP="00AC07F2">
            <w:pPr>
              <w:widowControl w:val="0"/>
              <w:jc w:val="center"/>
              <w:rPr>
                <w:rFonts w:ascii="Calibri" w:eastAsia="SimSun" w:hAnsi="Calibri" w:cs="Tahoma"/>
                <w:kern w:val="16"/>
                <w:szCs w:val="22"/>
              </w:rPr>
            </w:pPr>
            <w:r w:rsidRPr="00FE6A59">
              <w:rPr>
                <w:rFonts w:eastAsia="SimSun"/>
                <w:kern w:val="16"/>
                <w:sz w:val="20"/>
                <w:shd w:val="clear" w:color="auto" w:fill="FFFFFF"/>
              </w:rPr>
              <w:t>6.</w:t>
            </w:r>
            <w:r w:rsidR="00AC07F2">
              <w:rPr>
                <w:rFonts w:eastAsia="SimSun"/>
                <w:kern w:val="16"/>
                <w:sz w:val="20"/>
                <w:shd w:val="clear" w:color="auto" w:fill="FFFFFF"/>
              </w:rPr>
              <w:t>6</w:t>
            </w:r>
          </w:p>
        </w:tc>
        <w:tc>
          <w:tcPr>
            <w:tcW w:w="1243"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16</w:t>
            </w:r>
          </w:p>
        </w:tc>
        <w:tc>
          <w:tcPr>
            <w:tcW w:w="1450" w:type="dxa"/>
            <w:gridSpan w:val="2"/>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250</w:t>
            </w:r>
          </w:p>
        </w:tc>
      </w:tr>
    </w:tbl>
    <w:p w:rsidR="00A425B8" w:rsidRPr="00A425B8" w:rsidRDefault="00A425B8" w:rsidP="00A425B8">
      <w:pPr>
        <w:widowControl w:val="0"/>
        <w:shd w:val="clear" w:color="auto" w:fill="FFFFFF"/>
        <w:suppressAutoHyphens/>
        <w:spacing w:after="200" w:line="297" w:lineRule="exact"/>
        <w:ind w:hanging="620"/>
        <w:jc w:val="both"/>
        <w:rPr>
          <w:rFonts w:eastAsia="Courier New"/>
          <w:color w:val="00000A"/>
          <w:kern w:val="16"/>
          <w:sz w:val="23"/>
          <w:szCs w:val="23"/>
          <w:lang w:eastAsia="uk-UA"/>
        </w:rPr>
      </w:pPr>
      <w:bookmarkStart w:id="4" w:name="_GoBack"/>
      <w:bookmarkEnd w:id="4"/>
    </w:p>
    <w:p w:rsidR="00A425B8" w:rsidRPr="00A425B8" w:rsidRDefault="00A425B8" w:rsidP="00A425B8">
      <w:pPr>
        <w:keepNext/>
        <w:keepLines/>
        <w:widowControl w:val="0"/>
        <w:tabs>
          <w:tab w:val="num" w:pos="0"/>
        </w:tabs>
        <w:suppressAutoHyphens/>
        <w:jc w:val="center"/>
        <w:rPr>
          <w:rFonts w:eastAsia="Courier New"/>
          <w:b/>
          <w:bCs/>
          <w:color w:val="FF0000"/>
          <w:kern w:val="16"/>
          <w:sz w:val="28"/>
          <w:szCs w:val="28"/>
          <w:lang w:eastAsia="uk-UA"/>
        </w:rPr>
      </w:pPr>
      <w:r w:rsidRPr="00A425B8">
        <w:rPr>
          <w:rFonts w:eastAsia="Courier New"/>
          <w:b/>
          <w:bCs/>
          <w:kern w:val="16"/>
          <w:sz w:val="28"/>
          <w:szCs w:val="28"/>
          <w:lang w:eastAsia="uk-UA"/>
        </w:rPr>
        <w:t>Звіт про  рух власного капіталу</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2020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063" w:type="dxa"/>
        <w:tblInd w:w="108" w:type="dxa"/>
        <w:tblLayout w:type="fixed"/>
        <w:tblLook w:val="0000"/>
      </w:tblPr>
      <w:tblGrid>
        <w:gridCol w:w="2976"/>
        <w:gridCol w:w="994"/>
        <w:gridCol w:w="1135"/>
        <w:gridCol w:w="1132"/>
        <w:gridCol w:w="1134"/>
        <w:gridCol w:w="1417"/>
        <w:gridCol w:w="1275"/>
      </w:tblGrid>
      <w:tr w:rsidR="00FE6A59" w:rsidRPr="00FE6A59" w:rsidTr="00FE6A59">
        <w:trPr>
          <w:trHeight w:val="910"/>
        </w:trPr>
        <w:tc>
          <w:tcPr>
            <w:tcW w:w="2976"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99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Зареєстрований (пайовий) капітал</w:t>
            </w:r>
          </w:p>
        </w:tc>
        <w:tc>
          <w:tcPr>
            <w:tcW w:w="113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Резервний капітал</w:t>
            </w:r>
          </w:p>
        </w:tc>
        <w:tc>
          <w:tcPr>
            <w:tcW w:w="1132" w:type="dxa"/>
            <w:tcBorders>
              <w:bottom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Капітал у дооцінках</w:t>
            </w:r>
          </w:p>
        </w:tc>
        <w:tc>
          <w:tcPr>
            <w:tcW w:w="113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Нерозподілений прибуток (непокритий збиток)</w:t>
            </w:r>
          </w:p>
        </w:tc>
        <w:tc>
          <w:tcPr>
            <w:tcW w:w="1417" w:type="dxa"/>
            <w:tcBorders>
              <w:bottom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Додатковий капітал</w:t>
            </w:r>
          </w:p>
        </w:tc>
        <w:tc>
          <w:tcPr>
            <w:tcW w:w="127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Всього</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2019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759</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1766</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2019року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7</w:t>
            </w:r>
          </w:p>
        </w:tc>
        <w:tc>
          <w:tcPr>
            <w:tcW w:w="1132"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759</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1766</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2020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790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val="en-US" w:eastAsia="uk-UA"/>
              </w:rPr>
              <w:t>1797</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ind w:left="176" w:hanging="176"/>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2019року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790</w:t>
            </w:r>
            <w:r w:rsidRPr="00FE6A59">
              <w:rPr>
                <w:rFonts w:eastAsia="Courier New"/>
                <w:color w:val="000000"/>
                <w:kern w:val="16"/>
                <w:sz w:val="20"/>
                <w:lang w:eastAsia="uk-UA"/>
              </w:rPr>
              <w:tab/>
            </w:r>
            <w:r w:rsidRPr="00FE6A59">
              <w:rPr>
                <w:rFonts w:eastAsia="Courier New"/>
                <w:color w:val="000000"/>
                <w:kern w:val="16"/>
                <w:sz w:val="20"/>
                <w:lang w:eastAsia="uk-UA"/>
              </w:rPr>
              <w:tab/>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r w:rsidRPr="00FE6A59">
              <w:rPr>
                <w:rFonts w:eastAsia="Courier New"/>
                <w:color w:val="000000"/>
                <w:kern w:val="16"/>
                <w:sz w:val="20"/>
                <w:lang w:eastAsia="uk-UA"/>
              </w:rPr>
              <w:t>1797</w:t>
            </w:r>
          </w:p>
        </w:tc>
      </w:tr>
      <w:tr w:rsidR="00FE6A59" w:rsidRPr="00FE6A59" w:rsidTr="00FE6A59">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131</w:t>
            </w: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
                <w:bCs/>
                <w:i/>
                <w:color w:val="000000"/>
                <w:kern w:val="16"/>
                <w:sz w:val="20"/>
                <w:lang w:eastAsia="uk-UA"/>
              </w:rPr>
              <w:t>Залишок на кінець  2020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921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1928</w:t>
            </w:r>
          </w:p>
        </w:tc>
      </w:tr>
    </w:tbl>
    <w:p w:rsidR="00FE6A59" w:rsidRDefault="00FE6A59" w:rsidP="00A425B8">
      <w:pPr>
        <w:suppressAutoHyphens/>
        <w:rPr>
          <w:rFonts w:eastAsia="Courier New"/>
          <w:color w:val="000000"/>
          <w:kern w:val="16"/>
          <w:sz w:val="20"/>
          <w:lang w:eastAsia="uk-UA"/>
        </w:rPr>
      </w:pPr>
    </w:p>
    <w:p w:rsidR="00FE6A59" w:rsidRPr="00A425B8" w:rsidRDefault="00FE6A59" w:rsidP="00A425B8">
      <w:pPr>
        <w:suppressAutoHyphens/>
        <w:rPr>
          <w:rFonts w:eastAsia="Courier New"/>
          <w:color w:val="000000"/>
          <w:kern w:val="16"/>
          <w:sz w:val="20"/>
          <w:lang w:eastAsia="uk-UA"/>
        </w:rPr>
      </w:pPr>
    </w:p>
    <w:p w:rsidR="00A425B8" w:rsidRPr="00A425B8" w:rsidRDefault="00A425B8" w:rsidP="00A425B8">
      <w:pPr>
        <w:pStyle w:val="Standard"/>
        <w:jc w:val="center"/>
        <w:rPr>
          <w:rFonts w:ascii="Times New Roman" w:hAnsi="Times New Roman" w:cs="Times New Roman"/>
        </w:rPr>
      </w:pPr>
      <w:r w:rsidRPr="00A425B8">
        <w:rPr>
          <w:rFonts w:ascii="Times New Roman" w:hAnsi="Times New Roman" w:cs="Times New Roman"/>
        </w:rPr>
        <w:t>РОЗКРИТТЯ ІНФОРМАЦІЇ (ПРИМІТКИ)</w:t>
      </w:r>
    </w:p>
    <w:p w:rsidR="00A425B8" w:rsidRPr="00A425B8" w:rsidRDefault="00A425B8" w:rsidP="00A425B8">
      <w:pPr>
        <w:pStyle w:val="Standard"/>
        <w:jc w:val="center"/>
        <w:rPr>
          <w:rFonts w:ascii="Times New Roman" w:hAnsi="Times New Roman" w:cs="Times New Roman"/>
        </w:rPr>
      </w:pPr>
      <w:r w:rsidRPr="00A425B8">
        <w:rPr>
          <w:rFonts w:ascii="Times New Roman" w:hAnsi="Times New Roman" w:cs="Times New Roman"/>
        </w:rPr>
        <w:t>ДО ФІНАНСОВОЇ ЗВІТНОСТІ ЗА МСФЗ</w:t>
      </w:r>
    </w:p>
    <w:p w:rsidR="00A425B8" w:rsidRDefault="00DF3A77" w:rsidP="00DF3A77">
      <w:pPr>
        <w:jc w:val="center"/>
        <w:rPr>
          <w:szCs w:val="24"/>
        </w:rPr>
      </w:pPr>
      <w:r w:rsidRPr="00DF3A77">
        <w:rPr>
          <w:szCs w:val="24"/>
        </w:rPr>
        <w:t xml:space="preserve">ПТ "ЛОМБАРД "ГАРАНТ-ЧЕРКАСИ"  за </w:t>
      </w:r>
      <w:r w:rsidR="00A425B8">
        <w:rPr>
          <w:szCs w:val="24"/>
        </w:rPr>
        <w:t xml:space="preserve">2020 </w:t>
      </w:r>
      <w:r w:rsidRPr="00DF3A77">
        <w:rPr>
          <w:szCs w:val="24"/>
        </w:rPr>
        <w:t xml:space="preserve">рік, </w:t>
      </w:r>
    </w:p>
    <w:p w:rsidR="00DF3A77" w:rsidRPr="00DF3A77" w:rsidRDefault="00DF3A77" w:rsidP="00DF3A77">
      <w:pPr>
        <w:jc w:val="center"/>
        <w:rPr>
          <w:iCs/>
          <w:szCs w:val="24"/>
        </w:rPr>
      </w:pPr>
      <w:r w:rsidRPr="00DF3A77">
        <w:rPr>
          <w:szCs w:val="24"/>
        </w:rPr>
        <w:t xml:space="preserve">що закінчився на </w:t>
      </w:r>
      <w:r w:rsidRPr="00DF3A77">
        <w:rPr>
          <w:iCs/>
          <w:szCs w:val="24"/>
        </w:rPr>
        <w:t>31 грудня 20</w:t>
      </w:r>
      <w:r w:rsidRPr="00DF3A77">
        <w:rPr>
          <w:iCs/>
          <w:szCs w:val="24"/>
          <w:lang w:val="ru-RU"/>
        </w:rPr>
        <w:t>20</w:t>
      </w:r>
      <w:r w:rsidRPr="00DF3A77">
        <w:rPr>
          <w:iCs/>
          <w:szCs w:val="24"/>
        </w:rPr>
        <w:t xml:space="preserve"> року.</w:t>
      </w:r>
    </w:p>
    <w:p w:rsidR="00DF3A77" w:rsidRPr="00DF3A77" w:rsidRDefault="00DF3A77" w:rsidP="00DF3A77">
      <w:pPr>
        <w:ind w:firstLine="540"/>
        <w:jc w:val="both"/>
        <w:rPr>
          <w:b/>
          <w:bCs/>
          <w:szCs w:val="24"/>
        </w:rPr>
      </w:pPr>
    </w:p>
    <w:p w:rsidR="00DF3A77" w:rsidRPr="00DF3A77" w:rsidRDefault="00DF3A77" w:rsidP="00DF3A77">
      <w:pPr>
        <w:pStyle w:val="a5"/>
        <w:numPr>
          <w:ilvl w:val="0"/>
          <w:numId w:val="2"/>
        </w:numPr>
        <w:tabs>
          <w:tab w:val="clear" w:pos="4819"/>
          <w:tab w:val="clear" w:pos="9639"/>
        </w:tabs>
        <w:ind w:left="0" w:firstLine="567"/>
        <w:contextualSpacing/>
        <w:jc w:val="center"/>
        <w:rPr>
          <w:b/>
          <w:szCs w:val="24"/>
        </w:rPr>
      </w:pPr>
      <w:proofErr w:type="spellStart"/>
      <w:r w:rsidRPr="00DF3A77">
        <w:rPr>
          <w:b/>
          <w:szCs w:val="24"/>
          <w:lang w:val="ru-RU"/>
        </w:rPr>
        <w:t>Інформація</w:t>
      </w:r>
      <w:proofErr w:type="spellEnd"/>
      <w:r w:rsidRPr="00DF3A77">
        <w:rPr>
          <w:b/>
          <w:szCs w:val="24"/>
          <w:lang w:val="ru-RU"/>
        </w:rPr>
        <w:t xml:space="preserve"> про </w:t>
      </w:r>
      <w:proofErr w:type="spellStart"/>
      <w:r w:rsidRPr="00DF3A77">
        <w:rPr>
          <w:b/>
          <w:szCs w:val="24"/>
          <w:lang w:val="ru-RU"/>
        </w:rPr>
        <w:t>Товариство</w:t>
      </w:r>
      <w:proofErr w:type="spellEnd"/>
      <w:r w:rsidRPr="00DF3A77">
        <w:rPr>
          <w:b/>
          <w:szCs w:val="24"/>
          <w:lang w:val="ru-RU"/>
        </w:rPr>
        <w:t xml:space="preserve"> та основа </w:t>
      </w:r>
      <w:proofErr w:type="spellStart"/>
      <w:proofErr w:type="gramStart"/>
      <w:r w:rsidRPr="00DF3A77">
        <w:rPr>
          <w:b/>
          <w:szCs w:val="24"/>
          <w:lang w:val="ru-RU"/>
        </w:rPr>
        <w:t>п</w:t>
      </w:r>
      <w:proofErr w:type="gramEnd"/>
      <w:r w:rsidRPr="00DF3A77">
        <w:rPr>
          <w:b/>
          <w:szCs w:val="24"/>
          <w:lang w:val="ru-RU"/>
        </w:rPr>
        <w:t>ідготовкифінансовоїзвітності</w:t>
      </w:r>
      <w:proofErr w:type="spellEnd"/>
    </w:p>
    <w:p w:rsidR="00DF3A77" w:rsidRPr="00DF3A77" w:rsidRDefault="00DF3A77" w:rsidP="00DF3A77">
      <w:pPr>
        <w:pStyle w:val="13"/>
        <w:shd w:val="clear" w:color="auto" w:fill="auto"/>
        <w:spacing w:before="0" w:after="0" w:line="240" w:lineRule="auto"/>
        <w:ind w:firstLine="567"/>
        <w:contextualSpacing/>
        <w:jc w:val="center"/>
        <w:rPr>
          <w:rFonts w:ascii="Times New Roman" w:hAnsi="Times New Roman" w:cs="Times New Roman"/>
          <w:b/>
          <w:i/>
          <w:sz w:val="24"/>
          <w:szCs w:val="24"/>
        </w:rPr>
      </w:pPr>
    </w:p>
    <w:p w:rsidR="00DF3A77" w:rsidRPr="00DF3A77" w:rsidRDefault="00DF3A77" w:rsidP="00DF3A77">
      <w:pPr>
        <w:pStyle w:val="13"/>
        <w:shd w:val="clear" w:color="auto" w:fill="auto"/>
        <w:spacing w:before="0" w:after="0" w:line="240" w:lineRule="auto"/>
        <w:ind w:firstLine="567"/>
        <w:contextualSpacing/>
        <w:jc w:val="center"/>
        <w:rPr>
          <w:rFonts w:ascii="Times New Roman" w:hAnsi="Times New Roman" w:cs="Times New Roman"/>
          <w:b/>
          <w:i/>
          <w:sz w:val="24"/>
          <w:szCs w:val="24"/>
        </w:rPr>
      </w:pPr>
      <w:r w:rsidRPr="00DF3A77">
        <w:rPr>
          <w:rFonts w:ascii="Times New Roman" w:hAnsi="Times New Roman" w:cs="Times New Roman"/>
          <w:b/>
          <w:i/>
          <w:sz w:val="24"/>
          <w:szCs w:val="24"/>
        </w:rPr>
        <w:t>Інформація про товариство</w:t>
      </w:r>
    </w:p>
    <w:p w:rsidR="00DF3A77" w:rsidRPr="00DF3A77" w:rsidRDefault="00DF3A77" w:rsidP="00DF3A77">
      <w:pPr>
        <w:ind w:firstLine="567"/>
        <w:rPr>
          <w:szCs w:val="24"/>
        </w:rPr>
      </w:pPr>
      <w:r w:rsidRPr="00DF3A77">
        <w:rPr>
          <w:szCs w:val="24"/>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DF3A77" w:rsidRPr="00DF3A77" w:rsidRDefault="00DF3A77" w:rsidP="00DF3A77">
      <w:pPr>
        <w:ind w:firstLine="567"/>
        <w:rPr>
          <w:szCs w:val="24"/>
        </w:rPr>
      </w:pPr>
      <w:r w:rsidRPr="00DF3A77">
        <w:rPr>
          <w:szCs w:val="24"/>
        </w:rPr>
        <w:t>Код ЕДРПОУ 24349724.</w:t>
      </w:r>
    </w:p>
    <w:p w:rsidR="00DF3A77" w:rsidRPr="00DF3A77" w:rsidRDefault="00DF3A77" w:rsidP="00DF3A77">
      <w:pPr>
        <w:ind w:firstLine="567"/>
        <w:jc w:val="both"/>
        <w:rPr>
          <w:szCs w:val="24"/>
        </w:rPr>
      </w:pPr>
      <w:r w:rsidRPr="00DF3A77">
        <w:rPr>
          <w:szCs w:val="24"/>
        </w:rPr>
        <w:t xml:space="preserve">Нова редакція Засновницького договору зареєстрована </w:t>
      </w:r>
      <w:r w:rsidRPr="00DF3A77">
        <w:rPr>
          <w:szCs w:val="24"/>
          <w:lang w:val="ru-RU"/>
        </w:rPr>
        <w:t>05</w:t>
      </w:r>
      <w:r w:rsidRPr="00DF3A77">
        <w:rPr>
          <w:szCs w:val="24"/>
        </w:rPr>
        <w:t>.0</w:t>
      </w:r>
      <w:r w:rsidRPr="00DF3A77">
        <w:rPr>
          <w:szCs w:val="24"/>
          <w:lang w:val="ru-RU"/>
        </w:rPr>
        <w:t>9</w:t>
      </w:r>
      <w:r w:rsidRPr="00DF3A77">
        <w:rPr>
          <w:szCs w:val="24"/>
        </w:rPr>
        <w:t>.201</w:t>
      </w:r>
      <w:r w:rsidRPr="00DF3A77">
        <w:rPr>
          <w:szCs w:val="24"/>
          <w:lang w:val="ru-RU"/>
        </w:rPr>
        <w:t>9</w:t>
      </w:r>
      <w:r w:rsidRPr="00DF3A77">
        <w:rPr>
          <w:szCs w:val="24"/>
        </w:rPr>
        <w:t>, № запису 10 26 1</w:t>
      </w:r>
      <w:r w:rsidRPr="00DF3A77">
        <w:rPr>
          <w:szCs w:val="24"/>
          <w:lang w:val="ru-RU"/>
        </w:rPr>
        <w:t>200</w:t>
      </w:r>
      <w:r w:rsidRPr="00DF3A77">
        <w:rPr>
          <w:szCs w:val="24"/>
        </w:rPr>
        <w:t xml:space="preserve">000 002314. </w:t>
      </w:r>
    </w:p>
    <w:p w:rsidR="00DF3A77" w:rsidRPr="00DF3A77" w:rsidRDefault="00DF3A77" w:rsidP="00DF3A77">
      <w:pPr>
        <w:autoSpaceDE w:val="0"/>
        <w:autoSpaceDN w:val="0"/>
        <w:adjustRightInd w:val="0"/>
        <w:ind w:firstLine="567"/>
        <w:jc w:val="both"/>
        <w:rPr>
          <w:bCs/>
          <w:szCs w:val="24"/>
        </w:rPr>
      </w:pPr>
      <w:r w:rsidRPr="00DF3A77">
        <w:rPr>
          <w:szCs w:val="24"/>
        </w:rPr>
        <w:t>Протягом звітного 20</w:t>
      </w:r>
      <w:r w:rsidRPr="00DF3A77">
        <w:rPr>
          <w:szCs w:val="24"/>
          <w:lang w:val="ru-RU"/>
        </w:rPr>
        <w:t>20</w:t>
      </w:r>
      <w:r w:rsidRPr="00DF3A77">
        <w:rPr>
          <w:szCs w:val="24"/>
        </w:rPr>
        <w:t xml:space="preserve"> року Товариство здійснювало фінансово – господарську діяльність виключно в межах законодавства України, </w:t>
      </w:r>
      <w:r w:rsidRPr="00DF3A77">
        <w:rPr>
          <w:bCs/>
          <w:szCs w:val="24"/>
        </w:rPr>
        <w:t xml:space="preserve">види діяльності Товариства, відповідно до </w:t>
      </w:r>
      <w:r w:rsidRPr="00DF3A77">
        <w:rPr>
          <w:szCs w:val="24"/>
        </w:rPr>
        <w:t>Засновницького договору</w:t>
      </w:r>
      <w:r w:rsidRPr="00DF3A77">
        <w:rPr>
          <w:bCs/>
          <w:szCs w:val="24"/>
        </w:rPr>
        <w:t>, за КВЕД-2010:</w:t>
      </w:r>
    </w:p>
    <w:p w:rsidR="00DF3A77" w:rsidRPr="00DF3A77" w:rsidRDefault="00DF3A77" w:rsidP="00DF3A77">
      <w:pPr>
        <w:spacing w:before="40"/>
        <w:ind w:firstLine="567"/>
        <w:jc w:val="both"/>
        <w:rPr>
          <w:szCs w:val="24"/>
        </w:rPr>
      </w:pPr>
      <w:r w:rsidRPr="00DF3A77">
        <w:rPr>
          <w:szCs w:val="24"/>
        </w:rPr>
        <w:t>64.92  Інші види кредитування.</w:t>
      </w:r>
    </w:p>
    <w:p w:rsidR="00DF3A77" w:rsidRPr="00DF3A77" w:rsidRDefault="00DF3A77" w:rsidP="00DF3A77">
      <w:pPr>
        <w:spacing w:before="40"/>
        <w:ind w:firstLine="567"/>
        <w:jc w:val="both"/>
        <w:rPr>
          <w:szCs w:val="24"/>
        </w:rPr>
      </w:pPr>
      <w:r w:rsidRPr="00DF3A77">
        <w:rPr>
          <w:szCs w:val="24"/>
        </w:rPr>
        <w:t>Повне товариство «ЛОМБАРД «ГАРАНТ-ЧЕРКАСИ» є платником податку на прибуток на загальних підставах.</w:t>
      </w:r>
    </w:p>
    <w:p w:rsidR="00DF3A77" w:rsidRPr="00DF3A77" w:rsidRDefault="00DF3A77" w:rsidP="00DF3A77">
      <w:pPr>
        <w:ind w:firstLine="567"/>
        <w:jc w:val="both"/>
        <w:rPr>
          <w:szCs w:val="24"/>
        </w:rPr>
      </w:pPr>
      <w:r w:rsidRPr="00DF3A77">
        <w:rPr>
          <w:szCs w:val="24"/>
        </w:rPr>
        <w:t>Ломбард в 20</w:t>
      </w:r>
      <w:r w:rsidRPr="00DF3A77">
        <w:rPr>
          <w:szCs w:val="24"/>
          <w:lang w:val="ru-RU"/>
        </w:rPr>
        <w:t>20</w:t>
      </w:r>
      <w:r w:rsidRPr="00DF3A77">
        <w:rPr>
          <w:szCs w:val="24"/>
        </w:rPr>
        <w:t xml:space="preserve">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DF3A77" w:rsidRPr="00DF3A77" w:rsidRDefault="00DF3A77" w:rsidP="00DF3A77">
      <w:pPr>
        <w:ind w:firstLine="567"/>
        <w:jc w:val="both"/>
        <w:rPr>
          <w:szCs w:val="24"/>
        </w:rPr>
      </w:pPr>
      <w:r w:rsidRPr="00DF3A77">
        <w:rPr>
          <w:szCs w:val="24"/>
        </w:rPr>
        <w:t xml:space="preserve">ПТ «ЛОМБАРД «ГАРАНТ-ЧЕРКАСИ» провадить діяльність згідно отриманого Свідоцтва Державної комісії з регулювання ринків фінансових послуг України 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 </w:t>
      </w:r>
    </w:p>
    <w:p w:rsidR="00DF3A77" w:rsidRPr="00DF3A77" w:rsidRDefault="00DF3A77" w:rsidP="00DF3A77">
      <w:pPr>
        <w:ind w:firstLine="567"/>
        <w:jc w:val="both"/>
        <w:rPr>
          <w:szCs w:val="24"/>
        </w:rPr>
      </w:pPr>
      <w:r w:rsidRPr="00DF3A77">
        <w:rPr>
          <w:szCs w:val="24"/>
        </w:rPr>
        <w:t xml:space="preserve">Також </w:t>
      </w:r>
      <w:r w:rsidRPr="00DF3A77">
        <w:rPr>
          <w:szCs w:val="24"/>
          <w:lang w:val="ru-RU"/>
        </w:rPr>
        <w:t xml:space="preserve">для </w:t>
      </w:r>
      <w:r w:rsidRPr="00DF3A77">
        <w:rPr>
          <w:szCs w:val="24"/>
        </w:rPr>
        <w:t>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p>
    <w:p w:rsidR="00DF3A77" w:rsidRPr="00DF3A77" w:rsidRDefault="00DF3A77" w:rsidP="00DF3A77">
      <w:pPr>
        <w:ind w:firstLine="567"/>
        <w:jc w:val="both"/>
        <w:rPr>
          <w:szCs w:val="24"/>
        </w:rPr>
      </w:pPr>
      <w:r w:rsidRPr="00DF3A77">
        <w:rPr>
          <w:szCs w:val="24"/>
        </w:rPr>
        <w:t xml:space="preserve">Товариство не </w:t>
      </w:r>
      <w:proofErr w:type="spellStart"/>
      <w:r w:rsidRPr="00DF3A77">
        <w:rPr>
          <w:szCs w:val="24"/>
        </w:rPr>
        <w:t>суміщує</w:t>
      </w:r>
      <w:proofErr w:type="spellEnd"/>
      <w:r w:rsidRPr="00DF3A77">
        <w:rPr>
          <w:szCs w:val="24"/>
        </w:rPr>
        <w:t xml:space="preserve">  провадження основного виду господарської діяльності з іншими.</w:t>
      </w:r>
    </w:p>
    <w:p w:rsidR="00DF3A77" w:rsidRPr="00DF3A77" w:rsidRDefault="00DF3A77" w:rsidP="00DF3A77">
      <w:pPr>
        <w:ind w:firstLine="567"/>
        <w:jc w:val="both"/>
        <w:rPr>
          <w:szCs w:val="24"/>
        </w:rPr>
      </w:pPr>
      <w:r w:rsidRPr="00DF3A77">
        <w:rPr>
          <w:szCs w:val="24"/>
        </w:rPr>
        <w:t>Юридична адреса ПТ «ЛОМБАРД «ГАРАНТ-ЧЕРКАСИ»  - 18002, Черкаська обл., місто Черкаси, ВУЛИЦЯ СМІЛЯНСЬКА, будинок 36.</w:t>
      </w:r>
    </w:p>
    <w:p w:rsidR="00DF3A77" w:rsidRPr="00DF3A77" w:rsidRDefault="00DF3A77" w:rsidP="00DF3A77">
      <w:pPr>
        <w:autoSpaceDE w:val="0"/>
        <w:autoSpaceDN w:val="0"/>
        <w:adjustRightInd w:val="0"/>
        <w:ind w:firstLine="540"/>
        <w:jc w:val="both"/>
        <w:rPr>
          <w:szCs w:val="24"/>
        </w:rPr>
      </w:pPr>
      <w:r w:rsidRPr="00DF3A77">
        <w:rPr>
          <w:szCs w:val="24"/>
        </w:rPr>
        <w:t>Для здійснення своєї діяльності Ломбард має право відкривати поточні банківські рахунки у національній та іноземній валюті.</w:t>
      </w:r>
    </w:p>
    <w:p w:rsidR="00DF3A77" w:rsidRPr="00DF3A77" w:rsidRDefault="00DF3A77" w:rsidP="00DF3A77">
      <w:pPr>
        <w:autoSpaceDE w:val="0"/>
        <w:autoSpaceDN w:val="0"/>
        <w:adjustRightInd w:val="0"/>
        <w:ind w:firstLine="540"/>
        <w:jc w:val="both"/>
        <w:rPr>
          <w:szCs w:val="24"/>
        </w:rPr>
      </w:pPr>
      <w:r w:rsidRPr="00DF3A77">
        <w:rPr>
          <w:szCs w:val="24"/>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DF3A77">
        <w:rPr>
          <w:szCs w:val="24"/>
        </w:rPr>
        <w:tab/>
      </w:r>
    </w:p>
    <w:p w:rsidR="00DF3A77" w:rsidRPr="00DF3A77" w:rsidRDefault="00DF3A77" w:rsidP="00DF3A77">
      <w:pPr>
        <w:ind w:firstLine="540"/>
        <w:jc w:val="both"/>
        <w:rPr>
          <w:szCs w:val="24"/>
        </w:rPr>
      </w:pPr>
      <w:r w:rsidRPr="00DF3A77">
        <w:rPr>
          <w:szCs w:val="24"/>
        </w:rPr>
        <w:t>Середня кількість працівників товариства на кінець 20</w:t>
      </w:r>
      <w:r w:rsidRPr="00DF3A77">
        <w:rPr>
          <w:szCs w:val="24"/>
          <w:lang w:val="ru-RU"/>
        </w:rPr>
        <w:t>20</w:t>
      </w:r>
      <w:r w:rsidRPr="00DF3A77">
        <w:rPr>
          <w:szCs w:val="24"/>
        </w:rPr>
        <w:t xml:space="preserve"> р. становила </w:t>
      </w:r>
      <w:r w:rsidRPr="00DF3A77">
        <w:rPr>
          <w:szCs w:val="24"/>
          <w:lang w:val="ru-RU"/>
        </w:rPr>
        <w:t>4</w:t>
      </w:r>
      <w:r w:rsidRPr="00DF3A77">
        <w:rPr>
          <w:szCs w:val="24"/>
        </w:rPr>
        <w:t xml:space="preserve"> чол.</w:t>
      </w:r>
    </w:p>
    <w:p w:rsidR="00DF3A77" w:rsidRPr="00DF3A77" w:rsidRDefault="00DF3A77" w:rsidP="00DF3A77">
      <w:pPr>
        <w:tabs>
          <w:tab w:val="left" w:pos="705"/>
        </w:tabs>
        <w:ind w:firstLine="540"/>
        <w:jc w:val="both"/>
        <w:rPr>
          <w:szCs w:val="24"/>
        </w:rPr>
      </w:pPr>
      <w:r w:rsidRPr="00DF3A77">
        <w:rPr>
          <w:szCs w:val="24"/>
        </w:rPr>
        <w:t xml:space="preserve">Ломбард має власну </w:t>
      </w:r>
      <w:proofErr w:type="spellStart"/>
      <w:r w:rsidRPr="00DF3A77">
        <w:rPr>
          <w:szCs w:val="24"/>
        </w:rPr>
        <w:t>веб-сторінку</w:t>
      </w:r>
      <w:proofErr w:type="spellEnd"/>
      <w:r w:rsidRPr="00DF3A77">
        <w:rPr>
          <w:szCs w:val="24"/>
        </w:rPr>
        <w:t xml:space="preserve">, на якій розміщена інформація, передбачена вимогами; загальна інформація, та фінансова звітність за попередні роки. </w:t>
      </w:r>
    </w:p>
    <w:p w:rsidR="00DF3A77" w:rsidRPr="00DF3A77" w:rsidRDefault="00DF3A77" w:rsidP="00DF3A77">
      <w:pPr>
        <w:tabs>
          <w:tab w:val="left" w:pos="705"/>
        </w:tabs>
        <w:ind w:firstLine="540"/>
        <w:jc w:val="both"/>
        <w:rPr>
          <w:szCs w:val="24"/>
        </w:rPr>
      </w:pPr>
      <w:r w:rsidRPr="00DF3A77">
        <w:rPr>
          <w:szCs w:val="24"/>
        </w:rPr>
        <w:t>За період 20</w:t>
      </w:r>
      <w:r>
        <w:rPr>
          <w:szCs w:val="24"/>
        </w:rPr>
        <w:t>20</w:t>
      </w:r>
      <w:r w:rsidRPr="00DF3A77">
        <w:rPr>
          <w:szCs w:val="24"/>
        </w:rPr>
        <w:t xml:space="preserve"> року заходи впливу НКФП</w:t>
      </w:r>
      <w:r>
        <w:rPr>
          <w:szCs w:val="24"/>
        </w:rPr>
        <w:t xml:space="preserve"> та НБУ</w:t>
      </w:r>
      <w:r w:rsidRPr="00DF3A77">
        <w:rPr>
          <w:szCs w:val="24"/>
        </w:rPr>
        <w:t xml:space="preserve"> не застосовувалися.</w:t>
      </w:r>
    </w:p>
    <w:p w:rsidR="00DF3A77" w:rsidRPr="00DF3A77" w:rsidRDefault="00DF3A77" w:rsidP="00DF3A77">
      <w:pPr>
        <w:tabs>
          <w:tab w:val="left" w:pos="705"/>
        </w:tabs>
        <w:ind w:firstLine="540"/>
        <w:jc w:val="both"/>
        <w:rPr>
          <w:szCs w:val="24"/>
        </w:rPr>
      </w:pPr>
    </w:p>
    <w:p w:rsidR="00DF3A77" w:rsidRPr="00DF3A77" w:rsidRDefault="00DF3A77" w:rsidP="00DF3A77">
      <w:pPr>
        <w:tabs>
          <w:tab w:val="left" w:pos="705"/>
        </w:tabs>
        <w:ind w:firstLine="540"/>
        <w:jc w:val="both"/>
        <w:rPr>
          <w:szCs w:val="24"/>
        </w:rPr>
      </w:pPr>
    </w:p>
    <w:p w:rsidR="00DF3A77" w:rsidRPr="00DF3A77" w:rsidRDefault="00DF3A77" w:rsidP="00DF3A77">
      <w:pPr>
        <w:pStyle w:val="Standard"/>
        <w:widowControl w:val="0"/>
        <w:ind w:firstLine="567"/>
        <w:contextualSpacing/>
        <w:jc w:val="center"/>
        <w:rPr>
          <w:rStyle w:val="14"/>
          <w:rFonts w:ascii="Times New Roman" w:hAnsi="Times New Roman" w:cs="Times New Roman"/>
          <w:b/>
          <w:i/>
          <w:color w:val="auto"/>
        </w:rPr>
      </w:pPr>
    </w:p>
    <w:p w:rsidR="00DF3A77" w:rsidRPr="00DF3A77" w:rsidRDefault="00DF3A77" w:rsidP="00DF3A77">
      <w:pPr>
        <w:pStyle w:val="Standard"/>
        <w:widowControl w:val="0"/>
        <w:ind w:firstLine="567"/>
        <w:contextualSpacing/>
        <w:jc w:val="center"/>
        <w:rPr>
          <w:rFonts w:ascii="Times New Roman" w:hAnsi="Times New Roman" w:cs="Times New Roman"/>
        </w:rPr>
      </w:pPr>
      <w:r w:rsidRPr="00DF3A77">
        <w:rPr>
          <w:rStyle w:val="14"/>
          <w:rFonts w:ascii="Times New Roman" w:hAnsi="Times New Roman" w:cs="Times New Roman"/>
          <w:b/>
          <w:i/>
          <w:color w:val="auto"/>
        </w:rPr>
        <w:t>Валюта подання звітності та функціональна валюта, ступінь округлення</w:t>
      </w:r>
    </w:p>
    <w:p w:rsidR="00DF3A77" w:rsidRPr="00DF3A77" w:rsidRDefault="00DF3A77" w:rsidP="00DF3A77">
      <w:pPr>
        <w:autoSpaceDE w:val="0"/>
        <w:autoSpaceDN w:val="0"/>
        <w:adjustRightInd w:val="0"/>
        <w:ind w:firstLine="540"/>
        <w:jc w:val="both"/>
        <w:rPr>
          <w:szCs w:val="24"/>
        </w:rPr>
      </w:pPr>
      <w:r w:rsidRPr="00DF3A77">
        <w:rPr>
          <w:color w:val="000000"/>
          <w:szCs w:val="24"/>
        </w:rPr>
        <w:t>Функціональною валютою підприємства є Українська гривня, яка є національною валю</w:t>
      </w:r>
      <w:r w:rsidRPr="00DF3A77">
        <w:rPr>
          <w:color w:val="000000"/>
          <w:szCs w:val="24"/>
        </w:rPr>
        <w:softHyphen/>
        <w:t>тою України, і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DF3A77" w:rsidRPr="00DF3A77" w:rsidRDefault="00DF3A77" w:rsidP="00DF3A77">
      <w:pPr>
        <w:shd w:val="clear" w:color="auto" w:fill="FFFFFF"/>
        <w:autoSpaceDE w:val="0"/>
        <w:autoSpaceDN w:val="0"/>
        <w:adjustRightInd w:val="0"/>
        <w:ind w:firstLine="540"/>
        <w:jc w:val="both"/>
        <w:rPr>
          <w:szCs w:val="24"/>
        </w:rPr>
      </w:pPr>
      <w:r w:rsidRPr="00DF3A77">
        <w:rPr>
          <w:color w:val="000000"/>
          <w:szCs w:val="24"/>
        </w:rPr>
        <w:t>Українська гривня є також валютою пред</w:t>
      </w:r>
      <w:r w:rsidRPr="00DF3A77">
        <w:rPr>
          <w:color w:val="000000"/>
          <w:szCs w:val="24"/>
        </w:rPr>
        <w:softHyphen/>
        <w:t>ставлення фінансової звітності за Міжнарод</w:t>
      </w:r>
      <w:r w:rsidRPr="00DF3A77">
        <w:rPr>
          <w:color w:val="000000"/>
          <w:szCs w:val="24"/>
        </w:rPr>
        <w:softHyphen/>
        <w:t>ними стандартами.</w:t>
      </w:r>
      <w:r w:rsidRPr="00DF3A77">
        <w:rPr>
          <w:rStyle w:val="14"/>
          <w:szCs w:val="24"/>
        </w:rPr>
        <w:t xml:space="preserve"> (п. 51 МСБО 1 «Подання фінансової звітності»)</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sidRPr="00DF3A77">
        <w:rPr>
          <w:rFonts w:ascii="Times New Roman" w:hAnsi="Times New Roman" w:cs="Times New Roman"/>
          <w:i/>
          <w:color w:val="auto"/>
          <w:sz w:val="24"/>
          <w:szCs w:val="24"/>
          <w:lang w:val="uk-UA"/>
        </w:rPr>
        <w:lastRenderedPageBreak/>
        <w:t>Ідентифікація фінансової звітності</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 xml:space="preserve">Законодавчою основою застосування Міжнародних Стандартів Фінансової Звітності (в подальшому – МСФЗ) є Закон України «Про бухгалтерський облік та фінансову звітність в Україні», </w:t>
      </w:r>
      <w:r w:rsidR="00867FEF">
        <w:rPr>
          <w:rFonts w:ascii="Times New Roman" w:hAnsi="Times New Roman" w:cs="Times New Roman"/>
          <w:b w:val="0"/>
          <w:color w:val="auto"/>
          <w:sz w:val="24"/>
          <w:szCs w:val="24"/>
        </w:rPr>
        <w:t>з</w:t>
      </w:r>
      <w:r w:rsidRPr="00DF3A77">
        <w:rPr>
          <w:rFonts w:ascii="Times New Roman" w:hAnsi="Times New Roman" w:cs="Times New Roman"/>
          <w:b w:val="0"/>
          <w:color w:val="auto"/>
          <w:sz w:val="24"/>
          <w:szCs w:val="24"/>
        </w:rPr>
        <w:t xml:space="preserve"> змін</w:t>
      </w:r>
      <w:r w:rsidR="00867FEF">
        <w:rPr>
          <w:rFonts w:ascii="Times New Roman" w:hAnsi="Times New Roman" w:cs="Times New Roman"/>
          <w:b w:val="0"/>
          <w:color w:val="auto"/>
          <w:sz w:val="24"/>
          <w:szCs w:val="24"/>
        </w:rPr>
        <w:t>ами.</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Незалежно від застосовуваного пакету стандартів товариство зобов’язане виконувати норми Закону України «Про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ПТ «ЛОМБАРД «ГАРАНТ-ЧЕРКАСИ» вів в 20</w:t>
      </w:r>
      <w:r w:rsidRPr="00867FEF">
        <w:rPr>
          <w:rFonts w:ascii="Times New Roman" w:hAnsi="Times New Roman" w:cs="Times New Roman"/>
          <w:b w:val="0"/>
          <w:color w:val="auto"/>
          <w:sz w:val="24"/>
          <w:szCs w:val="24"/>
        </w:rPr>
        <w:t>20</w:t>
      </w:r>
      <w:r w:rsidRPr="00DF3A77">
        <w:rPr>
          <w:rFonts w:ascii="Times New Roman" w:hAnsi="Times New Roman" w:cs="Times New Roman"/>
          <w:b w:val="0"/>
          <w:color w:val="auto"/>
          <w:sz w:val="24"/>
          <w:szCs w:val="24"/>
        </w:rPr>
        <w:t xml:space="preserve"> році бухгалтерський облік відповідно до МСБО</w:t>
      </w:r>
      <w:r w:rsidR="00867FEF">
        <w:rPr>
          <w:rFonts w:ascii="Times New Roman" w:hAnsi="Times New Roman" w:cs="Times New Roman"/>
          <w:b w:val="0"/>
          <w:color w:val="auto"/>
          <w:sz w:val="24"/>
          <w:szCs w:val="24"/>
        </w:rPr>
        <w:t xml:space="preserve"> та МСФЗ </w:t>
      </w:r>
      <w:r w:rsidRPr="00DF3A77">
        <w:rPr>
          <w:rFonts w:ascii="Times New Roman" w:hAnsi="Times New Roman" w:cs="Times New Roman"/>
          <w:b w:val="0"/>
          <w:color w:val="auto"/>
          <w:sz w:val="24"/>
          <w:szCs w:val="24"/>
        </w:rPr>
        <w:t xml:space="preserve"> й склав фінансову звітність за МСФЗ. </w:t>
      </w:r>
    </w:p>
    <w:p w:rsidR="00DF3A77" w:rsidRPr="00DF3A77" w:rsidRDefault="00DF3A77" w:rsidP="00DF3A77">
      <w:pPr>
        <w:pStyle w:val="aa"/>
        <w:contextualSpacing/>
        <w:rPr>
          <w:bCs/>
          <w:sz w:val="24"/>
          <w:szCs w:val="24"/>
        </w:rPr>
      </w:pPr>
      <w:r w:rsidRPr="00DF3A77">
        <w:rPr>
          <w:bCs/>
          <w:sz w:val="24"/>
          <w:szCs w:val="24"/>
        </w:rPr>
        <w:t>Повний пакет фінансової звітності за 20</w:t>
      </w:r>
      <w:r w:rsidRPr="00DF3A77">
        <w:rPr>
          <w:bCs/>
          <w:sz w:val="24"/>
          <w:szCs w:val="24"/>
          <w:lang w:val="ru-RU"/>
        </w:rPr>
        <w:t>20</w:t>
      </w:r>
      <w:r w:rsidRPr="00DF3A77">
        <w:rPr>
          <w:bCs/>
          <w:sz w:val="24"/>
          <w:szCs w:val="24"/>
        </w:rPr>
        <w:t xml:space="preserve"> рік, є фінансовою звітністю, складеною відповідно до МСФЗ, діючих станом на 31.12.20</w:t>
      </w:r>
      <w:r w:rsidRPr="00DF3A77">
        <w:rPr>
          <w:bCs/>
          <w:sz w:val="24"/>
          <w:szCs w:val="24"/>
          <w:lang w:val="ru-RU"/>
        </w:rPr>
        <w:t>20</w:t>
      </w:r>
      <w:r w:rsidRPr="00DF3A77">
        <w:rPr>
          <w:bCs/>
          <w:sz w:val="24"/>
          <w:szCs w:val="24"/>
        </w:rPr>
        <w:t xml:space="preserve"> р.</w:t>
      </w:r>
    </w:p>
    <w:p w:rsidR="00DF3A77" w:rsidRPr="00DF3A77" w:rsidRDefault="00DF3A77" w:rsidP="00DF3A77">
      <w:pPr>
        <w:pStyle w:val="aa"/>
        <w:contextualSpacing/>
        <w:rPr>
          <w:sz w:val="24"/>
          <w:szCs w:val="24"/>
        </w:rPr>
      </w:pPr>
      <w:r w:rsidRPr="00DF3A77">
        <w:rPr>
          <w:sz w:val="24"/>
          <w:szCs w:val="24"/>
        </w:rPr>
        <w:t>У цих пояснювальних примітках наводиться додаткова інформація, розкриття якої вимагається Законом України «Про бухгалтерський 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Баланс (звіт про фінансовий стан),</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фінансові результати (звіт про сукупний дохід),</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рух грошових коштів (за прямим методом),</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власний капітал.</w:t>
      </w:r>
    </w:p>
    <w:p w:rsidR="00DF3A77" w:rsidRPr="00DF3A77" w:rsidRDefault="00DF3A77" w:rsidP="00DF3A77">
      <w:pPr>
        <w:pStyle w:val="aa"/>
        <w:contextualSpacing/>
        <w:rPr>
          <w:sz w:val="24"/>
          <w:szCs w:val="24"/>
        </w:rPr>
      </w:pPr>
    </w:p>
    <w:p w:rsidR="00DF3A77" w:rsidRPr="00DF3A77" w:rsidRDefault="00DF3A77" w:rsidP="00DF3A77">
      <w:pPr>
        <w:pStyle w:val="Standard"/>
        <w:widowControl w:val="0"/>
        <w:ind w:firstLine="567"/>
        <w:contextualSpacing/>
        <w:jc w:val="both"/>
        <w:rPr>
          <w:rFonts w:ascii="Times New Roman" w:hAnsi="Times New Roman" w:cs="Times New Roman"/>
        </w:rPr>
      </w:pPr>
      <w:r w:rsidRPr="00DF3A77">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Цей  фінансовий звіт підготовлений  відповідно до Міжнародних Стандартів  Фінансової Звітності (МСФЗ). </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До </w:t>
      </w:r>
      <w:r w:rsidR="00867FEF">
        <w:rPr>
          <w:rFonts w:ascii="Times New Roman" w:hAnsi="Times New Roman" w:cs="Times New Roman"/>
          <w:sz w:val="24"/>
          <w:szCs w:val="24"/>
        </w:rPr>
        <w:t xml:space="preserve"> НБУ, </w:t>
      </w:r>
      <w:r w:rsidRPr="00DF3A77">
        <w:rPr>
          <w:rFonts w:ascii="Times New Roman" w:hAnsi="Times New Roman" w:cs="Times New Roman"/>
          <w:sz w:val="24"/>
          <w:szCs w:val="24"/>
        </w:rPr>
        <w:t xml:space="preserve">ДФС та Статистики фінансова звітність подана з урахуванням вимог щодо форм та складу звітів, встановлених українським законодавством. ЇЇ  складено за формами, встановленими </w:t>
      </w:r>
      <w:hyperlink r:id="rId6" w:history="1">
        <w:r w:rsidRPr="00867FEF">
          <w:rPr>
            <w:rStyle w:val="a8"/>
            <w:rFonts w:ascii="Times New Roman" w:hAnsi="Times New Roman" w:cs="Times New Roman"/>
            <w:bCs/>
            <w:color w:val="auto"/>
            <w:sz w:val="24"/>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867FEF">
        <w:rPr>
          <w:rFonts w:ascii="Times New Roman" w:hAnsi="Times New Roman" w:cs="Times New Roman"/>
          <w:sz w:val="24"/>
          <w:szCs w:val="24"/>
        </w:rPr>
        <w:t>, з урахуванням норм МСФЗ, які заст</w:t>
      </w:r>
      <w:r w:rsidRPr="00DF3A77">
        <w:rPr>
          <w:rFonts w:ascii="Times New Roman" w:hAnsi="Times New Roman" w:cs="Times New Roman"/>
          <w:sz w:val="24"/>
          <w:szCs w:val="24"/>
        </w:rPr>
        <w:t>осовуються щодо звітного періоду, який закінчився 31.12.2020 р, та яка  складається з:</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Баланс (Звіт про фінансовий стан) на 31.12.20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фінансові результати (Звіт про сукупний дохід) за 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рух грошових коштів (складено за прямим методом) за 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власний капітал за 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20</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Примітки до фінансової звітності.</w:t>
      </w:r>
    </w:p>
    <w:p w:rsidR="00DF3A77" w:rsidRDefault="00DF3A77" w:rsidP="00DF3A77">
      <w:pPr>
        <w:pStyle w:val="Standard"/>
        <w:widowControl w:val="0"/>
        <w:ind w:left="720"/>
        <w:jc w:val="center"/>
        <w:rPr>
          <w:rFonts w:ascii="Times New Roman" w:eastAsia="Times New Roman" w:hAnsi="Times New Roman" w:cs="Times New Roman"/>
          <w:b/>
          <w:color w:val="00000A"/>
          <w:lang w:eastAsia="zh-CN"/>
        </w:rPr>
      </w:pPr>
    </w:p>
    <w:p w:rsidR="00DF3A77" w:rsidRPr="00DF3A77" w:rsidRDefault="00DF3A77" w:rsidP="00DF3A77">
      <w:pPr>
        <w:pStyle w:val="Standard"/>
        <w:widowControl w:val="0"/>
        <w:ind w:left="720"/>
        <w:jc w:val="center"/>
        <w:rPr>
          <w:rFonts w:ascii="Times New Roman" w:eastAsia="Times New Roman" w:hAnsi="Times New Roman" w:cs="Times New Roman"/>
          <w:b/>
          <w:i/>
          <w:color w:val="00000A"/>
          <w:lang w:eastAsia="zh-CN"/>
        </w:rPr>
      </w:pPr>
      <w:r w:rsidRPr="00DF3A77">
        <w:rPr>
          <w:rFonts w:ascii="Times New Roman" w:eastAsia="Times New Roman" w:hAnsi="Times New Roman" w:cs="Times New Roman"/>
          <w:b/>
          <w:i/>
          <w:color w:val="00000A"/>
          <w:lang w:eastAsia="zh-CN"/>
        </w:rPr>
        <w:t>Виправлення помилок</w:t>
      </w:r>
    </w:p>
    <w:p w:rsidR="00DF3A77" w:rsidRPr="00DF3A77" w:rsidRDefault="00DF3A77" w:rsidP="00DF3A77">
      <w:pPr>
        <w:pStyle w:val="Standard"/>
        <w:widowControl w:val="0"/>
        <w:ind w:left="720"/>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Ця фінансова звітність не містить виправлення помилок попередніх звітних періодів.</w:t>
      </w:r>
    </w:p>
    <w:p w:rsidR="00867FEF" w:rsidRDefault="00867FEF"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p>
    <w:p w:rsidR="00DF3A77" w:rsidRPr="00FE6A59" w:rsidRDefault="00DF3A77"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FE6A59">
        <w:rPr>
          <w:rStyle w:val="14"/>
          <w:rFonts w:ascii="Times New Roman" w:hAnsi="Times New Roman" w:cs="Times New Roman"/>
          <w:i/>
          <w:color w:val="auto"/>
          <w:sz w:val="24"/>
          <w:szCs w:val="24"/>
          <w:lang w:val="uk-UA"/>
        </w:rPr>
        <w:t>Припущення про безперервність діяльності</w:t>
      </w:r>
    </w:p>
    <w:p w:rsidR="00DF3A77" w:rsidRPr="00FE6A59" w:rsidRDefault="00DF3A77" w:rsidP="00DF3A77">
      <w:pPr>
        <w:pStyle w:val="Standard"/>
        <w:widowControl w:val="0"/>
        <w:ind w:firstLine="567"/>
        <w:contextualSpacing/>
        <w:jc w:val="both"/>
        <w:rPr>
          <w:rFonts w:ascii="Times New Roman" w:hAnsi="Times New Roman" w:cs="Times New Roman"/>
        </w:rPr>
      </w:pPr>
      <w:r w:rsidRPr="00FE6A59">
        <w:rPr>
          <w:rFonts w:ascii="Times New Roman" w:hAnsi="Times New Roman" w:cs="Times New Roman"/>
        </w:rPr>
        <w:t xml:space="preserve">Відповідно до вимог п. 25 МСБО 1 «Подання фінансової звітності» ця фінансова звітність була підготовлена на основі припущення про безперервність діяльності, відповідно до якого реалізація активів і погашення зобов’язань відбувається в ході звичайної діяльності. </w:t>
      </w:r>
    </w:p>
    <w:p w:rsidR="00867FEF" w:rsidRPr="00FE6A59" w:rsidRDefault="00867FEF" w:rsidP="00867FEF">
      <w:pPr>
        <w:suppressAutoHyphens/>
        <w:ind w:firstLine="708"/>
        <w:jc w:val="both"/>
        <w:rPr>
          <w:rFonts w:eastAsia="Courier New"/>
          <w:color w:val="000000"/>
          <w:kern w:val="16"/>
          <w:szCs w:val="24"/>
          <w:lang w:eastAsia="uk-UA"/>
        </w:rPr>
      </w:pPr>
      <w:r w:rsidRPr="00FE6A59">
        <w:rPr>
          <w:rFonts w:eastAsia="Courier New"/>
          <w:color w:val="000000"/>
          <w:kern w:val="16"/>
          <w:szCs w:val="24"/>
          <w:lang w:eastAsia="uk-UA"/>
        </w:rPr>
        <w:t xml:space="preserve">Виходячи з специфіки нашого бізнесу, в нових економічних умовах пов’язаних з пандемією </w:t>
      </w:r>
      <w:proofErr w:type="spellStart"/>
      <w:r w:rsidRPr="00FE6A59">
        <w:rPr>
          <w:rFonts w:eastAsia="Courier New"/>
          <w:color w:val="000000"/>
          <w:kern w:val="16"/>
          <w:szCs w:val="24"/>
          <w:lang w:eastAsia="uk-UA"/>
        </w:rPr>
        <w:t>коронавірусу</w:t>
      </w:r>
      <w:proofErr w:type="spellEnd"/>
      <w:r w:rsidRPr="00FE6A59">
        <w:rPr>
          <w:rFonts w:eastAsia="Courier New"/>
          <w:color w:val="000000"/>
          <w:kern w:val="16"/>
          <w:szCs w:val="24"/>
          <w:lang w:eastAsia="uk-UA"/>
        </w:rPr>
        <w:t xml:space="preserve">, застосувавши жорстку політику економії та скорочення витрат, ми маємо намір утримати досягнуті обсяги надання фінансових послуг. </w:t>
      </w:r>
    </w:p>
    <w:p w:rsidR="00867FEF" w:rsidRPr="00FE6A59" w:rsidRDefault="00867FEF" w:rsidP="00867FEF">
      <w:pPr>
        <w:suppressAutoHyphens/>
        <w:ind w:firstLine="708"/>
        <w:jc w:val="both"/>
        <w:rPr>
          <w:rFonts w:eastAsia="Courier New"/>
          <w:color w:val="000000"/>
          <w:kern w:val="16"/>
          <w:szCs w:val="24"/>
          <w:lang w:eastAsia="uk-UA"/>
        </w:rPr>
      </w:pPr>
      <w:r w:rsidRPr="00FE6A59">
        <w:rPr>
          <w:rFonts w:eastAsia="Courier New"/>
          <w:color w:val="000000"/>
          <w:kern w:val="16"/>
          <w:szCs w:val="24"/>
          <w:lang w:eastAsia="uk-UA"/>
        </w:rPr>
        <w:lastRenderedPageBreak/>
        <w:t>Товариством прийнято припущення про те, що воно не має ні наміру, ні потреби в початку процедури ліквідації або в припиненні діяльності.</w:t>
      </w:r>
    </w:p>
    <w:p w:rsidR="00DF3A77" w:rsidRPr="00FE6A59" w:rsidRDefault="00DF3A77" w:rsidP="00DF3A77">
      <w:pPr>
        <w:pStyle w:val="Standard"/>
        <w:widowControl w:val="0"/>
        <w:ind w:firstLine="567"/>
        <w:contextualSpacing/>
        <w:jc w:val="both"/>
        <w:rPr>
          <w:rFonts w:ascii="Times New Roman" w:hAnsi="Times New Roman" w:cs="Times New Roman"/>
        </w:rPr>
      </w:pPr>
      <w:r w:rsidRPr="00FE6A59">
        <w:rPr>
          <w:rFonts w:ascii="Times New Roman" w:hAnsi="Times New Roman" w:cs="Times New Roman"/>
        </w:rPr>
        <w:t>Фінансова звітність не включає коригування, які необхідно було б провести в тому випадку, як би Товариство не могло продовжити провадження фінансово-господарської діяльності відповідно до принципів безперервності діяльності.</w:t>
      </w:r>
    </w:p>
    <w:p w:rsidR="00DF3A77" w:rsidRPr="00FE6A59" w:rsidRDefault="00DF3A77" w:rsidP="00DF3A77">
      <w:pPr>
        <w:pStyle w:val="ABC-paragrahinNotes"/>
        <w:spacing w:after="0"/>
        <w:ind w:firstLine="709"/>
        <w:contextualSpacing/>
        <w:rPr>
          <w:rFonts w:ascii="Times New Roman" w:hAnsi="Times New Roman"/>
          <w:sz w:val="24"/>
          <w:szCs w:val="24"/>
          <w:lang w:val="uk-UA"/>
        </w:rPr>
      </w:pPr>
      <w:r w:rsidRPr="00FE6A59">
        <w:rPr>
          <w:rStyle w:val="hps"/>
          <w:rFonts w:ascii="Times New Roman" w:eastAsia="Calibri" w:hAnsi="Times New Roman"/>
          <w:sz w:val="24"/>
          <w:szCs w:val="24"/>
          <w:lang w:val="uk-UA"/>
        </w:rPr>
        <w:t>Керівництвоне може передбачитивсітенденції</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якіможутьвпливатина фінансовий секторта інші галузі економіки</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атакожте</w:t>
      </w:r>
      <w:r w:rsidRPr="00FE6A59">
        <w:rPr>
          <w:rFonts w:ascii="Times New Roman" w:hAnsi="Times New Roman"/>
          <w:sz w:val="24"/>
          <w:szCs w:val="24"/>
          <w:lang w:val="uk-UA"/>
        </w:rPr>
        <w:t xml:space="preserve">, який вплив </w:t>
      </w:r>
      <w:r w:rsidRPr="00FE6A59">
        <w:rPr>
          <w:rStyle w:val="hps"/>
          <w:rFonts w:ascii="Times New Roman" w:eastAsia="Calibri" w:hAnsi="Times New Roman"/>
          <w:sz w:val="24"/>
          <w:szCs w:val="24"/>
          <w:lang w:val="uk-UA"/>
        </w:rPr>
        <w:t>(</w:t>
      </w:r>
      <w:r w:rsidR="00867FEF" w:rsidRPr="00FE6A59">
        <w:rPr>
          <w:rFonts w:ascii="Times New Roman" w:hAnsi="Times New Roman"/>
          <w:sz w:val="24"/>
          <w:szCs w:val="24"/>
          <w:lang w:val="uk-UA"/>
        </w:rPr>
        <w:t>особливо в умовахCOVID-19</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вони</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можуть мати</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на</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майбутній</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фінансовий стан</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Товариства</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Керівництво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впевнене, що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воно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вживає всіх необхідних заходів</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для</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забезпечення стабільної діяльності</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та</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розвитку</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Товариства</w:t>
      </w:r>
      <w:r w:rsidRPr="00FE6A59">
        <w:rPr>
          <w:rFonts w:ascii="Times New Roman" w:hAnsi="Times New Roman"/>
          <w:sz w:val="24"/>
          <w:szCs w:val="24"/>
          <w:lang w:val="uk-UA"/>
        </w:rPr>
        <w:t>.</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FE6A59">
        <w:rPr>
          <w:rFonts w:ascii="Times New Roman" w:hAnsi="Times New Roman" w:cs="Times New Roman"/>
          <w:sz w:val="24"/>
          <w:szCs w:val="24"/>
        </w:rPr>
        <w:t>Фінансовий звіт підготовлений на основі припущення безперервності</w:t>
      </w:r>
      <w:r w:rsidRPr="00DF3A77">
        <w:rPr>
          <w:rFonts w:ascii="Times New Roman" w:hAnsi="Times New Roman" w:cs="Times New Roman"/>
          <w:sz w:val="24"/>
          <w:szCs w:val="24"/>
        </w:rPr>
        <w:t xml:space="preserve"> діяльності.</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Засновники Товариства  підтверджують про продовження фінансування  Товариства, для надання можливості   продовжувати її діяльність на безперервні основі.  Виходячи з цього керівництво впевнено, що Товариство можна признати безперервно діючим. На цьому принципі основана підготовка фінансового звіту.</w:t>
      </w:r>
    </w:p>
    <w:p w:rsidR="00DF3A77" w:rsidRPr="00DF3A77" w:rsidRDefault="00DF3A77" w:rsidP="00DF3A77">
      <w:pPr>
        <w:pStyle w:val="13"/>
        <w:shd w:val="clear" w:color="auto" w:fill="auto"/>
        <w:spacing w:before="0" w:after="0" w:line="240" w:lineRule="auto"/>
        <w:ind w:left="567" w:firstLine="0"/>
        <w:contextualSpacing/>
        <w:jc w:val="both"/>
        <w:rPr>
          <w:rFonts w:ascii="Times New Roman" w:hAnsi="Times New Roman" w:cs="Times New Roman"/>
          <w:sz w:val="24"/>
          <w:szCs w:val="24"/>
        </w:rPr>
      </w:pPr>
    </w:p>
    <w:p w:rsidR="00DF3A77" w:rsidRPr="00DF3A77" w:rsidRDefault="00DF3A77" w:rsidP="00DF3A77">
      <w:pPr>
        <w:autoSpaceDE w:val="0"/>
        <w:autoSpaceDN w:val="0"/>
        <w:adjustRightInd w:val="0"/>
        <w:ind w:firstLine="540"/>
        <w:jc w:val="both"/>
        <w:rPr>
          <w:b/>
          <w:bCs/>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2. Стандарти та тлумачення що використовуються</w:t>
      </w:r>
    </w:p>
    <w:p w:rsidR="00DF3A77" w:rsidRPr="00DF3A77" w:rsidRDefault="00DF3A77" w:rsidP="00DF3A77">
      <w:pPr>
        <w:shd w:val="clear" w:color="auto" w:fill="FFFFFF"/>
        <w:ind w:firstLine="567"/>
        <w:jc w:val="both"/>
        <w:rPr>
          <w:b/>
          <w:bCs/>
          <w:szCs w:val="24"/>
        </w:rPr>
      </w:pPr>
    </w:p>
    <w:p w:rsidR="00DF3A77" w:rsidRPr="00DF3A77" w:rsidRDefault="00DF3A77" w:rsidP="00DF3A77">
      <w:pPr>
        <w:autoSpaceDE w:val="0"/>
        <w:autoSpaceDN w:val="0"/>
        <w:adjustRightInd w:val="0"/>
        <w:ind w:firstLine="540"/>
        <w:jc w:val="both"/>
        <w:rPr>
          <w:b/>
          <w:bCs/>
          <w:i/>
          <w:szCs w:val="24"/>
        </w:rPr>
      </w:pPr>
      <w:r w:rsidRPr="00DF3A77">
        <w:rPr>
          <w:b/>
          <w:bCs/>
          <w:i/>
          <w:szCs w:val="24"/>
        </w:rPr>
        <w:t>МСФЗ, МСБО та тлумачення (КТМФЗ, ПКТ), які можуть використовуватись</w:t>
      </w:r>
    </w:p>
    <w:p w:rsidR="00DF3A77" w:rsidRPr="00DF3A77" w:rsidRDefault="00DF3A77" w:rsidP="00DF3A77">
      <w:pPr>
        <w:ind w:firstLine="567"/>
        <w:jc w:val="both"/>
        <w:rPr>
          <w:szCs w:val="24"/>
        </w:rPr>
      </w:pPr>
      <w:r w:rsidRPr="00DF3A77">
        <w:rPr>
          <w:szCs w:val="24"/>
        </w:rPr>
        <w:t xml:space="preserve">Текст Міжнародних стандартів фінансової звітності, включаючи Міжнародні стандарти бухгалтерського обліку (МСБО) та Тлумачення (КТМФЗ, ПКТ), виданий Радою з Міжнародних стандартів бухгалтерського обліку, якими користувалось Товариство при підготовці фінансової звітності за звітний рік, офіційно оприлюднена на сайті Міністерства фінансів України </w:t>
      </w:r>
      <w:proofErr w:type="spellStart"/>
      <w:r w:rsidRPr="00DF3A77">
        <w:rPr>
          <w:szCs w:val="24"/>
        </w:rPr>
        <w:t>www.minfin.gov.ua</w:t>
      </w:r>
      <w:proofErr w:type="spellEnd"/>
      <w:r w:rsidRPr="00DF3A77">
        <w:rPr>
          <w:szCs w:val="24"/>
        </w:rPr>
        <w:t>, що забезпечує формування державної фінансової політики. Ці Стандарти ґрунтуються на Міжнародних стандартах фінансової звітності та інших публікаціях Ради з Міжнародних стандартів бухгалтерського обліку (РМСБО). Авторське право на Міжнародні стандарти фінансової звітності та інші публікації РМСБО має Фонд Комітету з Міжнародних стандартів бухгалтерського обліку (ФКМСБО). Затверджений текст Міжнародних стандартів фінансової звітності та інших публікацій ФКМСБО є текст англійською мовою.</w:t>
      </w:r>
    </w:p>
    <w:p w:rsidR="00DF3A77" w:rsidRPr="00DF3A77" w:rsidRDefault="00DF3A77" w:rsidP="00DF3A77">
      <w:pPr>
        <w:pStyle w:val="Standard"/>
        <w:widowControl w:val="0"/>
        <w:ind w:firstLine="567"/>
        <w:contextualSpacing/>
        <w:jc w:val="center"/>
        <w:rPr>
          <w:rFonts w:ascii="Times New Roman" w:eastAsia="Times New Roman" w:hAnsi="Times New Roman" w:cs="Times New Roman"/>
          <w:b/>
          <w:color w:val="00000A"/>
          <w:lang w:eastAsia="zh-CN"/>
        </w:rPr>
      </w:pPr>
    </w:p>
    <w:p w:rsidR="00DF3A77" w:rsidRPr="00DF3A77" w:rsidRDefault="00DF3A77" w:rsidP="00DF3A77">
      <w:pPr>
        <w:autoSpaceDE w:val="0"/>
        <w:autoSpaceDN w:val="0"/>
        <w:adjustRightInd w:val="0"/>
        <w:ind w:firstLine="540"/>
        <w:rPr>
          <w:b/>
          <w:bCs/>
          <w:szCs w:val="24"/>
        </w:rPr>
      </w:pPr>
      <w:r w:rsidRPr="00DF3A77">
        <w:rPr>
          <w:b/>
          <w:bCs/>
          <w:szCs w:val="24"/>
        </w:rPr>
        <w:t>Оновлення Міжнародних стандартів фінансової звітності.</w:t>
      </w:r>
    </w:p>
    <w:p w:rsidR="00DF3A77" w:rsidRDefault="00DF3A77" w:rsidP="00DF3A77">
      <w:pPr>
        <w:ind w:firstLine="567"/>
        <w:jc w:val="both"/>
        <w:rPr>
          <w:szCs w:val="24"/>
        </w:rPr>
      </w:pPr>
      <w:r w:rsidRPr="00DF3A77">
        <w:rPr>
          <w:szCs w:val="24"/>
        </w:rPr>
        <w:t>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w:t>
      </w:r>
      <w:r w:rsidR="00867FEF" w:rsidRPr="00867FEF">
        <w:rPr>
          <w:szCs w:val="24"/>
        </w:rPr>
        <w:t>20</w:t>
      </w:r>
      <w:r w:rsidRPr="00DF3A77">
        <w:rPr>
          <w:szCs w:val="24"/>
        </w:rPr>
        <w:t xml:space="preserve"> року. </w:t>
      </w:r>
    </w:p>
    <w:p w:rsidR="00CE1063" w:rsidRDefault="00CE1063" w:rsidP="00DF3A77">
      <w:pPr>
        <w:ind w:firstLine="567"/>
        <w:jc w:val="both"/>
        <w:rPr>
          <w:szCs w:val="24"/>
        </w:rPr>
      </w:pPr>
    </w:p>
    <w:tbl>
      <w:tblPr>
        <w:tblpPr w:leftFromText="180" w:rightFromText="180" w:vertAnchor="text" w:tblpX="108" w:tblpY="1"/>
        <w:tblOverlap w:val="never"/>
        <w:tblW w:w="10173" w:type="dxa"/>
        <w:tblLayout w:type="fixed"/>
        <w:tblLook w:val="0000"/>
      </w:tblPr>
      <w:tblGrid>
        <w:gridCol w:w="8897"/>
        <w:gridCol w:w="1276"/>
      </w:tblGrid>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567"/>
              <w:rPr>
                <w:rFonts w:eastAsia="Times New Roman"/>
                <w:b/>
                <w:kern w:val="16"/>
                <w:szCs w:val="22"/>
              </w:rPr>
            </w:pPr>
            <w:r w:rsidRPr="00CE1063">
              <w:rPr>
                <w:rFonts w:eastAsia="Times New Roman"/>
                <w:b/>
                <w:kern w:val="16"/>
                <w:sz w:val="22"/>
                <w:szCs w:val="22"/>
              </w:rPr>
              <w:t>Стандарти та правки до них</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b/>
                <w:kern w:val="16"/>
                <w:szCs w:val="22"/>
              </w:rPr>
            </w:pPr>
            <w:r w:rsidRPr="00CE1063">
              <w:rPr>
                <w:rFonts w:eastAsia="Times New Roman"/>
                <w:b/>
                <w:kern w:val="16"/>
                <w:sz w:val="22"/>
                <w:szCs w:val="22"/>
              </w:rPr>
              <w:t>Ефективна</w:t>
            </w:r>
          </w:p>
          <w:p w:rsidR="00CE1063" w:rsidRPr="00CE1063" w:rsidRDefault="00CE1063" w:rsidP="00CE1063">
            <w:pPr>
              <w:suppressAutoHyphens/>
              <w:ind w:firstLine="34"/>
              <w:jc w:val="center"/>
              <w:rPr>
                <w:rFonts w:eastAsia="Times New Roman"/>
                <w:b/>
                <w:kern w:val="16"/>
                <w:szCs w:val="22"/>
              </w:rPr>
            </w:pPr>
            <w:r w:rsidRPr="00CE1063">
              <w:rPr>
                <w:rFonts w:eastAsia="Times New Roman"/>
                <w:b/>
                <w:kern w:val="16"/>
                <w:sz w:val="22"/>
                <w:szCs w:val="22"/>
              </w:rPr>
              <w:t>дата</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Концептуальні основи фінансової звітності - 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містять порівняльну інформацію, а також за певних обставин - прогнозні дані.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У новій редакції КОФЗ вводиться поняття «</w:t>
            </w:r>
            <w:proofErr w:type="spellStart"/>
            <w:r w:rsidRPr="00CE1063">
              <w:rPr>
                <w:rFonts w:eastAsia="SimSun"/>
                <w:kern w:val="16"/>
                <w:sz w:val="22"/>
                <w:szCs w:val="22"/>
              </w:rPr>
              <w:t>звітуюче</w:t>
            </w:r>
            <w:proofErr w:type="spellEnd"/>
            <w:r w:rsidRPr="00CE1063">
              <w:rPr>
                <w:rFonts w:eastAsia="SimSun"/>
                <w:kern w:val="16"/>
                <w:sz w:val="22"/>
                <w:szCs w:val="22"/>
              </w:rPr>
              <w:t xml:space="preserve"> підприємство», під яким мається на увазі сторона економічної діяльності, яка має чітко визначені межі та поняття зведеної звітності.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Вираз «економічний ресурс» замість терміну «ресурс» підкреслює, що Рада МСФЗ </w:t>
            </w:r>
            <w:r w:rsidRPr="00CE1063">
              <w:rPr>
                <w:rFonts w:eastAsia="SimSun"/>
                <w:kern w:val="16"/>
                <w:sz w:val="22"/>
                <w:szCs w:val="22"/>
              </w:rPr>
              <w:lastRenderedPageBreak/>
              <w:t xml:space="preserve">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CE1063" w:rsidRPr="00CE1063" w:rsidRDefault="00CE1063" w:rsidP="00CE1063">
            <w:pPr>
              <w:ind w:firstLine="284"/>
              <w:jc w:val="both"/>
              <w:rPr>
                <w:szCs w:val="22"/>
              </w:rPr>
            </w:pPr>
            <w:r w:rsidRPr="00CE1063">
              <w:rPr>
                <w:sz w:val="22"/>
                <w:szCs w:val="22"/>
              </w:rPr>
              <w:t>Нова глава КОФЗ присвячена опису різних методів оцінки (історична і поточна вартість (справедлива вартість, вартість використання)), інформації, яку вони надають.</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lastRenderedPageBreak/>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lastRenderedPageBreak/>
              <w:t xml:space="preserve">МСФЗ 3 «Об’єднання бізнесу»  - 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CE1063" w:rsidRPr="00CE1063" w:rsidRDefault="00CE1063" w:rsidP="00CE1063">
            <w:pPr>
              <w:ind w:firstLine="284"/>
              <w:jc w:val="both"/>
              <w:rPr>
                <w:szCs w:val="22"/>
              </w:rPr>
            </w:pPr>
            <w:r w:rsidRPr="00CE1063">
              <w:rPr>
                <w:sz w:val="22"/>
                <w:szCs w:val="22"/>
              </w:rPr>
              <w:t>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w:t>
            </w:r>
          </w:p>
          <w:p w:rsidR="00CE1063" w:rsidRPr="00CE1063" w:rsidRDefault="00CE1063" w:rsidP="00CE1063">
            <w:pPr>
              <w:ind w:firstLine="284"/>
              <w:jc w:val="both"/>
              <w:rPr>
                <w:szCs w:val="22"/>
              </w:rPr>
            </w:pPr>
            <w:r w:rsidRPr="00CE1063">
              <w:rPr>
                <w:sz w:val="22"/>
                <w:szCs w:val="22"/>
              </w:rPr>
              <w:t>Ці зміни є перспективними.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rPr>
          <w:trHeight w:val="503"/>
        </w:trPr>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МСБО 1 «Подання фінансової звітності» та МСБО 8 «Облікова політика, зміни в облікових оцінках та помилки». - 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CE1063" w:rsidRPr="00CE1063" w:rsidRDefault="00CE1063" w:rsidP="00CE1063">
            <w:pPr>
              <w:widowControl w:val="0"/>
              <w:ind w:firstLine="284"/>
              <w:rPr>
                <w:rFonts w:eastAsia="SimSun"/>
                <w:kern w:val="16"/>
                <w:szCs w:val="22"/>
              </w:rPr>
            </w:pPr>
            <w:r w:rsidRPr="00CE1063">
              <w:rPr>
                <w:rFonts w:eastAsia="SimSun"/>
                <w:i/>
                <w:iCs/>
                <w:kern w:val="16"/>
                <w:sz w:val="22"/>
                <w:szCs w:val="22"/>
              </w:rPr>
              <w:t xml:space="preserve">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w:t>
            </w:r>
            <w:proofErr w:type="spellStart"/>
            <w:r w:rsidRPr="00CE1063">
              <w:rPr>
                <w:rFonts w:eastAsia="SimSun"/>
                <w:i/>
                <w:iCs/>
                <w:kern w:val="16"/>
                <w:sz w:val="22"/>
                <w:szCs w:val="22"/>
              </w:rPr>
              <w:t>звітуючу</w:t>
            </w:r>
            <w:proofErr w:type="spellEnd"/>
            <w:r w:rsidRPr="00CE1063">
              <w:rPr>
                <w:rFonts w:eastAsia="SimSun"/>
                <w:i/>
                <w:iCs/>
                <w:kern w:val="16"/>
                <w:sz w:val="22"/>
                <w:szCs w:val="22"/>
              </w:rPr>
              <w:t xml:space="preserve"> компанію</w:t>
            </w:r>
          </w:p>
          <w:p w:rsidR="00CE1063" w:rsidRPr="00CE1063" w:rsidRDefault="00CE1063" w:rsidP="00CE1063">
            <w:pPr>
              <w:ind w:firstLine="284"/>
              <w:jc w:val="both"/>
              <w:rPr>
                <w:szCs w:val="22"/>
              </w:rPr>
            </w:pPr>
            <w:r w:rsidRPr="00CE1063">
              <w:rPr>
                <w:sz w:val="22"/>
                <w:szCs w:val="22"/>
              </w:rPr>
              <w:t>Зміни забезпечують послідовність використання визначення суттєвості в усіх стандартах МСФЗ.</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ind w:firstLine="284"/>
              <w:jc w:val="both"/>
              <w:rPr>
                <w:szCs w:val="22"/>
              </w:rPr>
            </w:pPr>
            <w:r w:rsidRPr="00CE1063">
              <w:rPr>
                <w:sz w:val="22"/>
                <w:szCs w:val="22"/>
              </w:rPr>
              <w:t>МСБО 10 «Події після звітного періоду», МСБО 34 «Проміжна фінансова звітність», МСБО 37 «Забезпечення, непередбачені зобов'язання та непередбачені активи", Керівництво із застосування МСФЗ 2 «Виплати на основі акцій», Посібник з застосування МСФЗ 4 «Договори страхування», Основи для висновків до МСФЗ 17 «Страхові контракти».</w:t>
            </w:r>
          </w:p>
          <w:p w:rsidR="00CE1063" w:rsidRPr="00CE1063" w:rsidRDefault="00CE1063" w:rsidP="00CE1063">
            <w:pPr>
              <w:widowControl w:val="0"/>
              <w:numPr>
                <w:ilvl w:val="0"/>
                <w:numId w:val="9"/>
              </w:numPr>
              <w:spacing w:after="200" w:line="276" w:lineRule="auto"/>
              <w:ind w:firstLine="284"/>
              <w:jc w:val="both"/>
              <w:rPr>
                <w:szCs w:val="22"/>
              </w:rPr>
            </w:pPr>
            <w:r w:rsidRPr="00CE1063">
              <w:rPr>
                <w:sz w:val="22"/>
                <w:szCs w:val="22"/>
              </w:rPr>
              <w:t>У всіх випадках словосполучення «економічні рішення» замінено словом «рішення», а поняття «користувачі» звужено до «основних користувачів».</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ind w:firstLine="284"/>
              <w:jc w:val="both"/>
              <w:rPr>
                <w:szCs w:val="22"/>
              </w:rPr>
            </w:pPr>
            <w:r w:rsidRPr="00CE1063">
              <w:rPr>
                <w:sz w:val="22"/>
                <w:szCs w:val="22"/>
              </w:rPr>
              <w:t>МСФЗ 9 «Фінансові інструменти», МСФОЗ 7 «Фінансові інструменти: розкриття інформації», МСБО 39 «Фінансові інструменти: визнання та оцінка»</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Поправки </w:t>
            </w:r>
          </w:p>
          <w:p w:rsidR="00CE1063" w:rsidRPr="00CE1063" w:rsidRDefault="00CE1063" w:rsidP="00CE1063">
            <w:pPr>
              <w:widowControl w:val="0"/>
              <w:numPr>
                <w:ilvl w:val="0"/>
                <w:numId w:val="8"/>
              </w:numPr>
              <w:tabs>
                <w:tab w:val="left" w:pos="522"/>
              </w:tabs>
              <w:spacing w:after="200" w:line="276" w:lineRule="auto"/>
              <w:ind w:firstLine="284"/>
              <w:contextualSpacing/>
              <w:rPr>
                <w:rFonts w:eastAsia="Times New Roman"/>
                <w:szCs w:val="22"/>
                <w:lang w:eastAsia="ar-SA"/>
              </w:rPr>
            </w:pPr>
            <w:r w:rsidRPr="00CE1063">
              <w:rPr>
                <w:rFonts w:eastAsia="Times New Roman"/>
                <w:sz w:val="22"/>
                <w:szCs w:val="22"/>
                <w:lang w:eastAsia="ar-SA"/>
              </w:rPr>
              <w:t xml:space="preserve">змінили вимоги до обліку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xml:space="preserve">: при обліку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xml:space="preserve"> передбачається, що контрольний показник процентної ставки, на якому засновані грошові потоки, що </w:t>
            </w:r>
            <w:proofErr w:type="spellStart"/>
            <w:r w:rsidRPr="00CE1063">
              <w:rPr>
                <w:rFonts w:eastAsia="Times New Roman"/>
                <w:sz w:val="22"/>
                <w:szCs w:val="22"/>
                <w:lang w:eastAsia="ar-SA"/>
              </w:rPr>
              <w:t>хеджуються</w:t>
            </w:r>
            <w:proofErr w:type="spellEnd"/>
            <w:r w:rsidRPr="00CE1063">
              <w:rPr>
                <w:rFonts w:eastAsia="Times New Roman"/>
                <w:sz w:val="22"/>
                <w:szCs w:val="22"/>
                <w:lang w:eastAsia="ar-SA"/>
              </w:rPr>
              <w:t xml:space="preserve"> і грошові потоки від інструменту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не зміниться в результаті реформи;</w:t>
            </w:r>
          </w:p>
          <w:p w:rsidR="00CE1063" w:rsidRPr="00CE1063" w:rsidRDefault="00CE1063" w:rsidP="00CE1063">
            <w:pPr>
              <w:widowControl w:val="0"/>
              <w:numPr>
                <w:ilvl w:val="0"/>
                <w:numId w:val="8"/>
              </w:numPr>
              <w:tabs>
                <w:tab w:val="left" w:pos="522"/>
              </w:tabs>
              <w:spacing w:after="200" w:line="276" w:lineRule="auto"/>
              <w:ind w:firstLine="284"/>
              <w:contextualSpacing/>
              <w:rPr>
                <w:rFonts w:eastAsia="Times New Roman"/>
                <w:szCs w:val="22"/>
                <w:lang w:eastAsia="ar-SA"/>
              </w:rPr>
            </w:pPr>
            <w:r w:rsidRPr="00CE1063">
              <w:rPr>
                <w:rFonts w:eastAsia="Times New Roman"/>
                <w:sz w:val="22"/>
                <w:szCs w:val="22"/>
                <w:lang w:eastAsia="ar-SA"/>
              </w:rPr>
              <w:t xml:space="preserve">обов'язкові для всіх відносин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на які безпосередньо впливає реформа внутрішньобанківської ставки рефінансування;</w:t>
            </w:r>
          </w:p>
          <w:p w:rsidR="00CE1063" w:rsidRPr="00CE1063" w:rsidRDefault="00CE1063" w:rsidP="007602DD">
            <w:pPr>
              <w:widowControl w:val="0"/>
              <w:numPr>
                <w:ilvl w:val="0"/>
                <w:numId w:val="8"/>
              </w:numPr>
              <w:tabs>
                <w:tab w:val="left" w:pos="522"/>
              </w:tabs>
              <w:spacing w:after="200" w:line="276" w:lineRule="auto"/>
              <w:ind w:left="142" w:firstLine="284"/>
              <w:contextualSpacing/>
              <w:rPr>
                <w:rFonts w:eastAsia="Times New Roman"/>
                <w:szCs w:val="22"/>
                <w:lang w:eastAsia="ar-SA"/>
              </w:rPr>
            </w:pPr>
            <w:r w:rsidRPr="00CE1063">
              <w:rPr>
                <w:rFonts w:eastAsia="Times New Roman"/>
                <w:sz w:val="22"/>
                <w:szCs w:val="22"/>
                <w:lang w:eastAsia="ar-SA"/>
              </w:rPr>
              <w:t>не можна використовувати для усунення будь-яких інших наслідків реформи;</w:t>
            </w:r>
          </w:p>
          <w:p w:rsidR="00CE1063" w:rsidRPr="00CE1063" w:rsidRDefault="00CE1063" w:rsidP="00CE1063">
            <w:pPr>
              <w:ind w:firstLine="284"/>
              <w:jc w:val="both"/>
              <w:rPr>
                <w:szCs w:val="22"/>
              </w:rPr>
            </w:pPr>
            <w:r w:rsidRPr="00CE1063">
              <w:rPr>
                <w:sz w:val="22"/>
                <w:szCs w:val="22"/>
              </w:rPr>
              <w:t xml:space="preserve">вимагають розкриття інформації про ступінь впливу поправок на відносини </w:t>
            </w:r>
            <w:proofErr w:type="spellStart"/>
            <w:r w:rsidRPr="00CE1063">
              <w:rPr>
                <w:sz w:val="22"/>
                <w:szCs w:val="22"/>
              </w:rPr>
              <w:t>хеджування</w:t>
            </w:r>
            <w:proofErr w:type="spellEnd"/>
            <w:r w:rsidRPr="00CE1063">
              <w:rPr>
                <w:sz w:val="22"/>
                <w:szCs w:val="22"/>
              </w:rPr>
              <w:t>.</w:t>
            </w:r>
          </w:p>
          <w:p w:rsidR="00CE1063" w:rsidRPr="00CE1063" w:rsidRDefault="00CE1063" w:rsidP="00CE1063">
            <w:pPr>
              <w:ind w:firstLine="284"/>
              <w:jc w:val="both"/>
              <w:rPr>
                <w:szCs w:val="22"/>
              </w:rPr>
            </w:pPr>
            <w:r w:rsidRPr="00CE1063">
              <w:rPr>
                <w:sz w:val="22"/>
                <w:szCs w:val="22"/>
              </w:rPr>
              <w:t>Дострокове застосування дозволялося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bl>
    <w:p w:rsidR="00CE1063" w:rsidRDefault="00CE1063" w:rsidP="00CE1063">
      <w:pPr>
        <w:widowControl w:val="0"/>
        <w:suppressAutoHyphens/>
        <w:ind w:firstLine="284"/>
        <w:rPr>
          <w:rFonts w:eastAsia="SimSun"/>
          <w:kern w:val="16"/>
          <w:szCs w:val="24"/>
        </w:rPr>
      </w:pPr>
    </w:p>
    <w:p w:rsidR="00CE1063" w:rsidRDefault="00CE1063" w:rsidP="00CE1063">
      <w:pPr>
        <w:widowControl w:val="0"/>
        <w:suppressAutoHyphens/>
        <w:ind w:firstLine="284"/>
        <w:rPr>
          <w:rFonts w:eastAsia="SimSun"/>
          <w:kern w:val="16"/>
          <w:szCs w:val="24"/>
        </w:rPr>
      </w:pPr>
      <w:r w:rsidRPr="00CE1063">
        <w:rPr>
          <w:rFonts w:eastAsia="SimSun"/>
          <w:kern w:val="16"/>
          <w:szCs w:val="24"/>
        </w:rPr>
        <w:t>Станом на звітну дату прийняті наступні МСФЗ, зміни до них та інтерпретації, ефективна дата яких не настала:</w:t>
      </w:r>
    </w:p>
    <w:p w:rsidR="00CE1063" w:rsidRPr="00CE1063" w:rsidRDefault="00CE1063" w:rsidP="00CE1063">
      <w:pPr>
        <w:widowControl w:val="0"/>
        <w:suppressAutoHyphens/>
        <w:ind w:firstLine="284"/>
        <w:rPr>
          <w:rFonts w:eastAsia="SimSun"/>
          <w:kern w:val="16"/>
          <w:szCs w:val="24"/>
        </w:rPr>
      </w:pPr>
    </w:p>
    <w:tbl>
      <w:tblPr>
        <w:tblpPr w:leftFromText="180" w:rightFromText="180" w:vertAnchor="text" w:tblpX="108" w:tblpY="1"/>
        <w:tblOverlap w:val="never"/>
        <w:tblW w:w="10314" w:type="dxa"/>
        <w:tblLayout w:type="fixed"/>
        <w:tblLook w:val="0000"/>
      </w:tblPr>
      <w:tblGrid>
        <w:gridCol w:w="9039"/>
        <w:gridCol w:w="1275"/>
      </w:tblGrid>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284"/>
              <w:rPr>
                <w:rFonts w:eastAsia="Times New Roman"/>
                <w:b/>
                <w:kern w:val="16"/>
                <w:szCs w:val="22"/>
              </w:rPr>
            </w:pPr>
            <w:r w:rsidRPr="00CE1063">
              <w:rPr>
                <w:rFonts w:eastAsia="Times New Roman"/>
                <w:b/>
                <w:kern w:val="16"/>
                <w:sz w:val="22"/>
                <w:szCs w:val="22"/>
              </w:rPr>
              <w:t>Стандарти та правки до них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b/>
                <w:kern w:val="16"/>
                <w:szCs w:val="22"/>
              </w:rPr>
            </w:pPr>
            <w:r w:rsidRPr="00CE1063">
              <w:rPr>
                <w:rFonts w:eastAsia="Times New Roman"/>
                <w:b/>
                <w:kern w:val="16"/>
                <w:sz w:val="22"/>
                <w:szCs w:val="22"/>
              </w:rPr>
              <w:t>Ефективна</w:t>
            </w:r>
          </w:p>
          <w:p w:rsidR="00CE1063" w:rsidRPr="00CE1063" w:rsidRDefault="00CE1063" w:rsidP="00CE1063">
            <w:pPr>
              <w:suppressAutoHyphens/>
              <w:jc w:val="center"/>
              <w:rPr>
                <w:rFonts w:eastAsia="Times New Roman"/>
                <w:b/>
                <w:kern w:val="16"/>
                <w:szCs w:val="22"/>
              </w:rPr>
            </w:pPr>
            <w:r w:rsidRPr="00CE1063">
              <w:rPr>
                <w:rFonts w:eastAsia="Times New Roman"/>
                <w:b/>
                <w:kern w:val="16"/>
                <w:sz w:val="22"/>
                <w:szCs w:val="22"/>
              </w:rPr>
              <w:t>дата</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numPr>
                <w:ilvl w:val="0"/>
                <w:numId w:val="10"/>
              </w:numPr>
              <w:autoSpaceDE w:val="0"/>
              <w:autoSpaceDN w:val="0"/>
              <w:spacing w:after="200" w:line="276" w:lineRule="auto"/>
              <w:ind w:firstLine="284"/>
              <w:jc w:val="both"/>
              <w:rPr>
                <w:rFonts w:eastAsia="Times New Roman"/>
                <w:szCs w:val="22"/>
              </w:rPr>
            </w:pPr>
            <w:r w:rsidRPr="00CE1063">
              <w:rPr>
                <w:rFonts w:eastAsia="Times New Roman"/>
                <w:sz w:val="22"/>
                <w:szCs w:val="22"/>
              </w:rPr>
              <w:t>МСФЗ 9 Фінансові інструменти , МСБО 39 Фінансові інструменти: Визнання та оцінка , МСФЗ 7 Фінансові інструменти: Розкриття інформації , МСФЗ 4 Страхові контракти та МСФЗ 16 Оренда.</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У серпні 2020 року Рада з МСФЗ в рамках Реформи IBOR опублікувала поправки, що доповнюють випущені у 2019 році та зосереджують увагу на наслідках реформи базового рівня процентних ставок на фінансовій звітності компанії, які виникають, коли, наприклад, базовий показник процентної ставки, який використовується для обчислення процентів за фінансовим активом замінено альтернативною базовою ставкою.</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 xml:space="preserve">Поправки до фази 2 розглядають питання, які можуть вплинути на фінансову звітність під час реформи базового рівня процентних ставок, включаючи наслідки змін договірних грошових потоків або відносин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що виникають внаслідок заміни базового рівня процентної ставки. з альтернативною базовою ставкою (проблеми із заміною). </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На етапі 2 свого проекту Рада внесла зміни до вимог зазначених стандартів, що стосуються:</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зміни договірних грошових потоків - компанії не доведеться припиняти визнання або коригувати балансову вартість фінансових інструментів для змін, що вимагаються реформою, а замість цього оновить ефективну процентну ставку, щоб відобразити зміну до альтернативної базової ставки;</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 xml:space="preserve">облік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 компанії не доведеться припиняти облік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виключно тому, що вона вносить зміни, які вимагає реформа, якщо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відповідає іншим критеріям обліку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і</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розкриття інформації - компанія повинна буде розкривати інформацію про нові ризики, що виникають внаслідок реформи, та про те, як вона управляє переходом до альтернативних ставок.</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 xml:space="preserve">Поправки до Фази 2 поширюються лише на зміни, які вимагає реформа базового рівня процентних ставок до фінансових інструментів та відносин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1 січня 2021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МСБО 16 «Основні засоби»</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01 січня 2022 року</w:t>
            </w:r>
          </w:p>
        </w:tc>
      </w:tr>
      <w:tr w:rsidR="00CE1063" w:rsidRPr="00CE1063" w:rsidTr="00CE1063">
        <w:trPr>
          <w:trHeight w:val="503"/>
        </w:trPr>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rPr>
            </w:pPr>
            <w:r w:rsidRPr="00CE1063">
              <w:rPr>
                <w:rFonts w:eastAsia="Times New Roman"/>
                <w:sz w:val="22"/>
                <w:szCs w:val="22"/>
              </w:rPr>
              <w:t>МСБО 37 «Забезпечення, непередбачені зобов’язання та непередбачені активи»</w:t>
            </w:r>
          </w:p>
          <w:p w:rsidR="00CE1063" w:rsidRPr="00CE1063" w:rsidRDefault="00CE1063" w:rsidP="00CE1063">
            <w:pPr>
              <w:autoSpaceDE w:val="0"/>
              <w:autoSpaceDN w:val="0"/>
              <w:ind w:firstLine="284"/>
              <w:jc w:val="both"/>
              <w:rPr>
                <w:rFonts w:eastAsia="Times New Roman"/>
                <w:szCs w:val="22"/>
              </w:rPr>
            </w:pPr>
            <w:r w:rsidRPr="00CE1063">
              <w:rPr>
                <w:rFonts w:eastAsia="Times New Roman"/>
                <w:sz w:val="22"/>
                <w:szCs w:val="22"/>
              </w:rPr>
              <w:t>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МСФЗ 3 «Об’єднання бізнесу»</w:t>
            </w:r>
          </w:p>
          <w:p w:rsidR="00CE1063" w:rsidRPr="00CE1063" w:rsidRDefault="00CE1063" w:rsidP="00CE1063">
            <w:pPr>
              <w:autoSpaceDE w:val="0"/>
              <w:autoSpaceDN w:val="0"/>
              <w:ind w:firstLine="284"/>
              <w:jc w:val="both"/>
              <w:rPr>
                <w:szCs w:val="22"/>
              </w:rPr>
            </w:pPr>
            <w:r w:rsidRPr="00CE1063">
              <w:rPr>
                <w:sz w:val="22"/>
                <w:szCs w:val="22"/>
              </w:rPr>
              <w:t>Актуалізація посилань в МСФЗ (IFRS) 3 на Концептуальні основи підготовки фінансової звітності, не змінюючи вимог до обліку для об'єднання бізнесів.</w:t>
            </w:r>
          </w:p>
          <w:p w:rsidR="00CE1063" w:rsidRPr="00CE1063" w:rsidRDefault="00CE1063" w:rsidP="00CE1063">
            <w:pPr>
              <w:autoSpaceDE w:val="0"/>
              <w:autoSpaceDN w:val="0"/>
              <w:ind w:firstLine="284"/>
              <w:jc w:val="both"/>
              <w:rPr>
                <w:szCs w:val="22"/>
              </w:rPr>
            </w:pPr>
            <w:r w:rsidRPr="00CE1063">
              <w:rPr>
                <w:sz w:val="22"/>
                <w:szCs w:val="22"/>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МСФЗ (IAS) 37 «Забезпечення, непередбачені зобов'язання та непередбачені активи" або на Роз'яснення КТМФЗ (IFRIC) 21 «Збори », а не на Концептуальні засади фінансової звітності 2018 року.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lastRenderedPageBreak/>
              <w:t>Щорічні поправки в МСФЗ (2018-2020): МСФЗ (IFRS) 1</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Дочірнє підприємство, яке уперше застосувало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МСФЗ (IFRS) 9</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 xml:space="preserve">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w:t>
            </w:r>
            <w:proofErr w:type="spellStart"/>
            <w:r w:rsidRPr="00CE1063">
              <w:rPr>
                <w:rFonts w:eastAsia="Times New Roman"/>
                <w:sz w:val="22"/>
                <w:szCs w:val="22"/>
                <w:lang w:eastAsia="ru-RU"/>
              </w:rPr>
              <w:t>займополучателя</w:t>
            </w:r>
            <w:proofErr w:type="spellEnd"/>
            <w:r w:rsidRPr="00CE1063">
              <w:rPr>
                <w:rFonts w:eastAsia="Times New Roman"/>
                <w:sz w:val="22"/>
                <w:szCs w:val="22"/>
                <w:lang w:eastAsia="ru-RU"/>
              </w:rPr>
              <w:t>, включаючи винагороду, сплачене або отримане від особи інших сторін.</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МСФЗ (IFRS) 16</w:t>
            </w:r>
          </w:p>
          <w:p w:rsidR="00CE1063" w:rsidRPr="00CE1063" w:rsidRDefault="00CE1063" w:rsidP="00CE1063">
            <w:pPr>
              <w:autoSpaceDE w:val="0"/>
              <w:autoSpaceDN w:val="0"/>
              <w:ind w:firstLine="284"/>
              <w:jc w:val="both"/>
              <w:rPr>
                <w:szCs w:val="22"/>
              </w:rPr>
            </w:pPr>
            <w:r w:rsidRPr="00CE1063">
              <w:rPr>
                <w:rFonts w:eastAsia="Times New Roman"/>
                <w:sz w:val="22"/>
                <w:szCs w:val="22"/>
                <w:lang w:eastAsia="ru-RU"/>
              </w:rPr>
              <w:t>Стимулюючі платежі по оренді. Поправка уточнює ілюстративний приклад № 13 до МСФЗ (IFRS) 16 шляхом виключення прикладу урахування відшкодування, отриманого орендарем від орендодавця в якості компенсації за понесені витрати на поліпшення об'єкта оренди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МСБО (IAS) 41</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Ефекти оподаткування при визначенні справедливої вартості. Поправка виключає вимогу IAS 41:22, яка вказує, що потоки грошових коштів, пов'язані з оподаткуванням, не включаються до розрахунків справедливої вартості біологічних активів. Поправка призводить до відповідності IAS 41 і IFRS 13.</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МСБО 1 «Подання фінансової звітності»</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Сутність поправок:</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роз’яснення вимог до класифікації зобов'язань, які компанія може або може погасити шляхом випуску власних інструментів власного капіталу.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2023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Виключення деяких видів договорів зі сфери застосування МСФЗ 17</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Спрощене подання активів і зобов'язань, пов'язаних з договорами страхування в звіті про фінансовий стан</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Вплив облікових оцінок, зроблених в попередніх проміжних фінансових звітностях</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 xml:space="preserve">Визнання і розподіл </w:t>
            </w:r>
            <w:proofErr w:type="spellStart"/>
            <w:r w:rsidRPr="00CE1063">
              <w:rPr>
                <w:rFonts w:eastAsia="Times New Roman"/>
                <w:sz w:val="22"/>
                <w:szCs w:val="22"/>
              </w:rPr>
              <w:t>аквізиційних</w:t>
            </w:r>
            <w:proofErr w:type="spellEnd"/>
            <w:r w:rsidRPr="00CE1063">
              <w:rPr>
                <w:rFonts w:eastAsia="Times New Roman"/>
                <w:sz w:val="22"/>
                <w:szCs w:val="22"/>
              </w:rPr>
              <w:t xml:space="preserve"> грошових потоків</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Зміна у визнанні відшкодування за договорами перестрахування в звіті про прибутки і збитки</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Розподіл маржі за передбачені договором страхування інвестиційні послуги (CSM)</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lastRenderedPageBreak/>
              <w:t>Можливість зниження фінансового ризику для договорів вхідного перестрахування і непохідних фінансових інструментів</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Перенесення дати вступу в силу МСФЗ 17, а також продовження періоду звільнення від застосування МСФЗ (IFRS) 9 для страхових компаній до 1 січня 2023 року</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Спрощений облік зобов'язань по врегулюванню збитків за договорами, які виникли до дати переходу на МСФЗ 17</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Послаблення в застосуванні технік для зниження фінансового ризику</w:t>
            </w:r>
          </w:p>
          <w:p w:rsidR="00CE1063" w:rsidRPr="00CE1063" w:rsidRDefault="00CE1063" w:rsidP="00CE1063">
            <w:pPr>
              <w:autoSpaceDE w:val="0"/>
              <w:autoSpaceDN w:val="0"/>
              <w:ind w:firstLine="284"/>
              <w:jc w:val="both"/>
              <w:rPr>
                <w:szCs w:val="22"/>
              </w:rPr>
            </w:pPr>
            <w:r w:rsidRPr="00CE1063">
              <w:rPr>
                <w:sz w:val="22"/>
                <w:szCs w:val="22"/>
              </w:rPr>
              <w:t>Можливість визначення інвестиційного договору з умовами дискреційного участі в момент переходу на новий стандарт, ніж в момент виникнення договору</w:t>
            </w:r>
          </w:p>
          <w:p w:rsidR="00CE1063" w:rsidRPr="00CE1063" w:rsidRDefault="00CE1063" w:rsidP="00CE1063">
            <w:pPr>
              <w:autoSpaceDE w:val="0"/>
              <w:autoSpaceDN w:val="0"/>
              <w:ind w:firstLine="284"/>
              <w:jc w:val="both"/>
              <w:rPr>
                <w:szCs w:val="22"/>
              </w:rPr>
            </w:pPr>
            <w:proofErr w:type="spellStart"/>
            <w:r w:rsidRPr="00CE1063">
              <w:rPr>
                <w:sz w:val="22"/>
                <w:szCs w:val="22"/>
                <w:lang w:val="en-US"/>
              </w:rPr>
              <w:t>Достроковезастосуваннядозволено</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lastRenderedPageBreak/>
              <w:t>1 січня 2023 року</w:t>
            </w:r>
          </w:p>
        </w:tc>
      </w:tr>
    </w:tbl>
    <w:p w:rsidR="00CE1063" w:rsidRPr="00CE1063" w:rsidRDefault="00CE1063" w:rsidP="00CE1063">
      <w:pPr>
        <w:widowControl w:val="0"/>
        <w:suppressAutoHyphens/>
        <w:ind w:firstLine="284"/>
        <w:rPr>
          <w:rFonts w:eastAsia="SimSun"/>
          <w:kern w:val="16"/>
          <w:szCs w:val="24"/>
        </w:rPr>
      </w:pPr>
    </w:p>
    <w:p w:rsidR="00DF3A77" w:rsidRPr="00DF3A77" w:rsidRDefault="00DF3A77" w:rsidP="00DF3A77">
      <w:pPr>
        <w:ind w:firstLine="567"/>
        <w:rPr>
          <w:szCs w:val="24"/>
        </w:rPr>
      </w:pPr>
      <w:r w:rsidRPr="00DF3A77">
        <w:rPr>
          <w:szCs w:val="24"/>
        </w:rPr>
        <w:t>Нові стандарти, ефективна дата яких - початку звітного періоду, й які раніше товариством не застосовувались.</w:t>
      </w:r>
    </w:p>
    <w:p w:rsidR="00DF3A77" w:rsidRDefault="00DF3A77" w:rsidP="00DF3A77">
      <w:pPr>
        <w:ind w:firstLine="567"/>
        <w:jc w:val="both"/>
        <w:rPr>
          <w:szCs w:val="24"/>
        </w:rPr>
      </w:pPr>
      <w:r w:rsidRPr="00DF3A77">
        <w:rPr>
          <w:szCs w:val="24"/>
        </w:rPr>
        <w:t>Перелічені вище стандарти та правки до них не вплинули на фінансовий стан, фінансові результати та фінансову звітність, їх ефект відсутній</w:t>
      </w:r>
      <w:r w:rsidR="00CE1063">
        <w:rPr>
          <w:szCs w:val="24"/>
        </w:rPr>
        <w:t>.</w:t>
      </w:r>
    </w:p>
    <w:p w:rsidR="00CE1063" w:rsidRPr="00DF3A77" w:rsidRDefault="00CE1063" w:rsidP="00DF3A77">
      <w:pPr>
        <w:ind w:firstLine="567"/>
        <w:jc w:val="both"/>
        <w:rPr>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3. Облікова політика</w:t>
      </w:r>
    </w:p>
    <w:p w:rsidR="00DF3A77" w:rsidRPr="00DF3A77" w:rsidRDefault="00DF3A77" w:rsidP="00DF3A77">
      <w:pPr>
        <w:autoSpaceDE w:val="0"/>
        <w:autoSpaceDN w:val="0"/>
        <w:adjustRightInd w:val="0"/>
        <w:ind w:firstLine="540"/>
        <w:jc w:val="center"/>
        <w:rPr>
          <w:b/>
          <w:bCs/>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3.1. Концептуальна основа</w:t>
      </w:r>
    </w:p>
    <w:p w:rsidR="00DF3A77" w:rsidRPr="00DF3A77" w:rsidRDefault="00DF3A77" w:rsidP="00DF3A77">
      <w:pPr>
        <w:ind w:firstLine="567"/>
        <w:jc w:val="both"/>
        <w:rPr>
          <w:szCs w:val="24"/>
        </w:rPr>
      </w:pPr>
      <w:r w:rsidRPr="00DF3A77">
        <w:rPr>
          <w:szCs w:val="24"/>
        </w:rPr>
        <w:t>Фінансова звітність Ломбарду за 2020 звітний рік,  відображає його фінансовий стан на 31.12.2020 року, фінансові результати та рух грошових коштів за рік, що закінчився на зазначену дату, а також іншу пояснювальну інформацію, відповідно до Міжнародних стандартів фінансової звітності(МСФЗ), виданих Радою з Міжнародних стандартів бухгалтерського обліку (РМСБО), які в Україні визначені в якості застосовної концептуальної основи фінансової звітності Законом України «Про бухгалтерський облік та фінансову звітність» і є для  Ломбарду прийнятною концептуальної основи загального призначення, яка водночас також є концептуальною основою достовірного подання.</w:t>
      </w:r>
    </w:p>
    <w:p w:rsidR="00DF3A77" w:rsidRPr="00DF3A77" w:rsidRDefault="00DF3A77" w:rsidP="00DF3A77">
      <w:pPr>
        <w:autoSpaceDE w:val="0"/>
        <w:ind w:right="28" w:firstLine="567"/>
        <w:jc w:val="both"/>
        <w:rPr>
          <w:szCs w:val="24"/>
        </w:rPr>
      </w:pPr>
    </w:p>
    <w:p w:rsidR="00DF3A77" w:rsidRPr="00DF3A77" w:rsidRDefault="00DF3A77" w:rsidP="00DF3A77">
      <w:pPr>
        <w:ind w:firstLine="567"/>
        <w:jc w:val="center"/>
        <w:rPr>
          <w:b/>
          <w:bCs/>
          <w:szCs w:val="24"/>
        </w:rPr>
      </w:pPr>
      <w:r w:rsidRPr="00DF3A77">
        <w:rPr>
          <w:b/>
          <w:bCs/>
          <w:szCs w:val="24"/>
        </w:rPr>
        <w:t>3.2. Основи облікової політики та складання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w:t>
      </w:r>
      <w:proofErr w:type="spellStart"/>
      <w:r w:rsidRPr="00DF3A77">
        <w:rPr>
          <w:szCs w:val="24"/>
        </w:rPr>
        <w:t>Нацкомфінпослуг</w:t>
      </w:r>
      <w:proofErr w:type="spellEnd"/>
      <w:r w:rsidRPr="00DF3A77">
        <w:rPr>
          <w:szCs w:val="24"/>
        </w:rPr>
        <w:t xml:space="preserve"> та НБУ,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Обрана Товариством облікова політика:</w:t>
      </w:r>
    </w:p>
    <w:p w:rsidR="00DF3A77" w:rsidRPr="00DF3A77" w:rsidRDefault="00DF3A77" w:rsidP="00DF3A77">
      <w:pPr>
        <w:autoSpaceDE w:val="0"/>
        <w:autoSpaceDN w:val="0"/>
        <w:adjustRightInd w:val="0"/>
        <w:ind w:firstLine="540"/>
        <w:jc w:val="both"/>
        <w:rPr>
          <w:szCs w:val="24"/>
        </w:rPr>
      </w:pPr>
      <w:r w:rsidRPr="00DF3A77">
        <w:rPr>
          <w:szCs w:val="24"/>
        </w:rPr>
        <w:t>- забезпечує повноту та достовірність відображення операцій в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систему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закріплює правила та процедури, прийняті керівництвом для ведення фінансового, управлінського та податкового обліку;</w:t>
      </w:r>
    </w:p>
    <w:p w:rsidR="00DF3A77" w:rsidRPr="00DF3A77" w:rsidRDefault="00DF3A77" w:rsidP="00DF3A77">
      <w:pPr>
        <w:autoSpaceDE w:val="0"/>
        <w:autoSpaceDN w:val="0"/>
        <w:adjustRightInd w:val="0"/>
        <w:ind w:firstLine="540"/>
        <w:jc w:val="both"/>
        <w:rPr>
          <w:szCs w:val="24"/>
        </w:rPr>
      </w:pPr>
      <w:r w:rsidRPr="00DF3A77">
        <w:rPr>
          <w:szCs w:val="24"/>
        </w:rPr>
        <w:t>- відображає особливості організації та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сприяє виконанню повного обсягу фінансово - господарських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 забезпечує встановлення контролю здійснення цих операцій;</w:t>
      </w:r>
    </w:p>
    <w:p w:rsidR="00DF3A77" w:rsidRPr="00DF3A77" w:rsidRDefault="00DF3A77" w:rsidP="00DF3A77">
      <w:pPr>
        <w:autoSpaceDE w:val="0"/>
        <w:autoSpaceDN w:val="0"/>
        <w:adjustRightInd w:val="0"/>
        <w:ind w:firstLine="540"/>
        <w:jc w:val="both"/>
        <w:rPr>
          <w:szCs w:val="24"/>
        </w:rPr>
      </w:pPr>
      <w:r w:rsidRPr="00DF3A77">
        <w:rPr>
          <w:szCs w:val="24"/>
        </w:rPr>
        <w:t>- встановлює правила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затверджує ведення системи рахунків і регістрів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технологію обробки облікової інформації.</w:t>
      </w:r>
    </w:p>
    <w:p w:rsidR="00DF3A77" w:rsidRPr="00DF3A77" w:rsidRDefault="00DF3A77" w:rsidP="00DF3A77">
      <w:pPr>
        <w:autoSpaceDE w:val="0"/>
        <w:autoSpaceDN w:val="0"/>
        <w:adjustRightInd w:val="0"/>
        <w:ind w:firstLine="540"/>
        <w:jc w:val="both"/>
        <w:rPr>
          <w:szCs w:val="24"/>
        </w:rPr>
      </w:pPr>
      <w:r w:rsidRPr="00DF3A77">
        <w:rPr>
          <w:szCs w:val="24"/>
        </w:rPr>
        <w:lastRenderedPageBreak/>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DF3A77" w:rsidRPr="00DF3A77" w:rsidRDefault="00DF3A77" w:rsidP="00DF3A77">
      <w:pPr>
        <w:autoSpaceDE w:val="0"/>
        <w:autoSpaceDN w:val="0"/>
        <w:adjustRightInd w:val="0"/>
        <w:ind w:firstLine="540"/>
        <w:jc w:val="both"/>
        <w:rPr>
          <w:bCs/>
          <w:szCs w:val="24"/>
        </w:rPr>
      </w:pPr>
      <w:r w:rsidRPr="00DF3A77">
        <w:rPr>
          <w:bCs/>
          <w:szCs w:val="24"/>
        </w:rPr>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DF3A77" w:rsidRPr="00DF3A77" w:rsidRDefault="00DF3A77" w:rsidP="00DF3A77">
      <w:pPr>
        <w:autoSpaceDE w:val="0"/>
        <w:autoSpaceDN w:val="0"/>
        <w:adjustRightInd w:val="0"/>
        <w:ind w:firstLine="540"/>
        <w:jc w:val="both"/>
        <w:rPr>
          <w:bCs/>
          <w:szCs w:val="24"/>
        </w:rPr>
      </w:pPr>
      <w:r w:rsidRPr="00DF3A77">
        <w:rPr>
          <w:bCs/>
          <w:szCs w:val="24"/>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DF3A77" w:rsidRPr="00DF3A77" w:rsidRDefault="00DF3A77" w:rsidP="00DF3A77">
      <w:pPr>
        <w:autoSpaceDE w:val="0"/>
        <w:autoSpaceDN w:val="0"/>
        <w:adjustRightInd w:val="0"/>
        <w:ind w:firstLine="540"/>
        <w:jc w:val="both"/>
        <w:rPr>
          <w:bCs/>
          <w:szCs w:val="24"/>
        </w:rPr>
      </w:pPr>
      <w:r w:rsidRPr="00DF3A77">
        <w:rPr>
          <w:bCs/>
          <w:szCs w:val="24"/>
        </w:rPr>
        <w:t>Власний капітал - це залишкова частина в активах Ломбарду після вирахування всіх  зобов'язань.</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в Ломбарді застосовується до подій та операцій з часу їх виникнення.</w:t>
      </w:r>
    </w:p>
    <w:p w:rsidR="00DF3A77" w:rsidRPr="00DF3A77" w:rsidRDefault="00DF3A77" w:rsidP="00DF3A77">
      <w:pPr>
        <w:autoSpaceDE w:val="0"/>
        <w:autoSpaceDN w:val="0"/>
        <w:adjustRightInd w:val="0"/>
        <w:ind w:firstLine="540"/>
        <w:jc w:val="both"/>
        <w:rPr>
          <w:szCs w:val="24"/>
        </w:rPr>
      </w:pPr>
      <w:r w:rsidRPr="00DF3A77">
        <w:rPr>
          <w:szCs w:val="24"/>
        </w:rPr>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DF3A77" w:rsidRPr="00DF3A77" w:rsidRDefault="00DF3A77" w:rsidP="00DF3A77">
      <w:pPr>
        <w:autoSpaceDE w:val="0"/>
        <w:autoSpaceDN w:val="0"/>
        <w:adjustRightInd w:val="0"/>
        <w:ind w:firstLine="540"/>
        <w:jc w:val="both"/>
        <w:rPr>
          <w:szCs w:val="24"/>
        </w:rPr>
      </w:pPr>
      <w:r w:rsidRPr="00DF3A77">
        <w:rPr>
          <w:szCs w:val="24"/>
        </w:rPr>
        <w:t>Зобов’язання – це теперішня заборгованість, що виникає внаслідок минулих подій, від погашення якої очікується вибуття ресурсів Ломбарду.</w:t>
      </w:r>
    </w:p>
    <w:p w:rsidR="00DF3A77" w:rsidRPr="00DF3A77" w:rsidRDefault="00DF3A77" w:rsidP="00DF3A77">
      <w:pPr>
        <w:autoSpaceDE w:val="0"/>
        <w:autoSpaceDN w:val="0"/>
        <w:adjustRightInd w:val="0"/>
        <w:ind w:firstLine="540"/>
        <w:jc w:val="both"/>
        <w:rPr>
          <w:szCs w:val="24"/>
        </w:rPr>
      </w:pPr>
      <w:r w:rsidRPr="00DF3A77">
        <w:rPr>
          <w:szCs w:val="24"/>
        </w:rPr>
        <w:t>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на наступні звітні періоди. Тому методи оцінки активів та зобов’язань базуються на головних 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DF3A77" w:rsidRPr="00DF3A77" w:rsidRDefault="00DF3A77" w:rsidP="00DF3A77">
      <w:pPr>
        <w:autoSpaceDE w:val="0"/>
        <w:autoSpaceDN w:val="0"/>
        <w:adjustRightInd w:val="0"/>
        <w:ind w:firstLine="540"/>
        <w:jc w:val="both"/>
        <w:rPr>
          <w:szCs w:val="24"/>
        </w:rPr>
      </w:pPr>
      <w:r w:rsidRPr="00DF3A77">
        <w:rPr>
          <w:szCs w:val="24"/>
        </w:rPr>
        <w:t>У фінансових звітах Ломбард використовує такі методи оцінки, як історична (первісна) вартість, ринкова вартість, справедлива вартість, балансова вартість.</w:t>
      </w:r>
    </w:p>
    <w:p w:rsidR="00DF3A77" w:rsidRPr="00DF3A77" w:rsidRDefault="00DF3A77" w:rsidP="00DF3A77">
      <w:pPr>
        <w:ind w:firstLine="540"/>
        <w:jc w:val="both"/>
        <w:rPr>
          <w:szCs w:val="24"/>
        </w:rPr>
      </w:pPr>
      <w:r w:rsidRPr="00DF3A77">
        <w:rPr>
          <w:i/>
          <w:szCs w:val="24"/>
        </w:rPr>
        <w:t>Грошові кошти та їх еквіваленти</w:t>
      </w:r>
      <w:r w:rsidRPr="00DF3A77">
        <w:rPr>
          <w:szCs w:val="24"/>
        </w:rPr>
        <w:t xml:space="preserve">. </w:t>
      </w:r>
    </w:p>
    <w:p w:rsidR="00DF3A77" w:rsidRPr="00DF3A77" w:rsidRDefault="00DF3A77" w:rsidP="00DF3A77">
      <w:pPr>
        <w:ind w:firstLine="540"/>
        <w:jc w:val="both"/>
        <w:rPr>
          <w:szCs w:val="24"/>
        </w:rPr>
      </w:pPr>
      <w:r w:rsidRPr="00DF3A77">
        <w:rPr>
          <w:szCs w:val="24"/>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DF3A77" w:rsidRPr="00DF3A77" w:rsidRDefault="00DF3A77" w:rsidP="00DF3A77">
      <w:pPr>
        <w:ind w:firstLine="540"/>
        <w:jc w:val="both"/>
        <w:rPr>
          <w:szCs w:val="24"/>
        </w:rPr>
      </w:pPr>
      <w:r w:rsidRPr="00DF3A77">
        <w:rPr>
          <w:i/>
          <w:szCs w:val="24"/>
        </w:rPr>
        <w:t>Основні засоби.</w:t>
      </w:r>
    </w:p>
    <w:p w:rsidR="00DF3A77" w:rsidRPr="00DF3A77" w:rsidRDefault="00DF3A77" w:rsidP="00DF3A77">
      <w:pPr>
        <w:ind w:firstLine="540"/>
        <w:jc w:val="both"/>
        <w:rPr>
          <w:szCs w:val="24"/>
        </w:rPr>
      </w:pPr>
      <w:r w:rsidRPr="00DF3A77">
        <w:rPr>
          <w:szCs w:val="24"/>
        </w:rPr>
        <w:t xml:space="preserve">Використовувати при нарахуванні амортизації основних засобів прямолінійний метод: </w:t>
      </w:r>
    </w:p>
    <w:p w:rsidR="00DF3A77" w:rsidRPr="00DF3A77" w:rsidRDefault="00DF3A77" w:rsidP="00DF3A77">
      <w:pPr>
        <w:ind w:firstLine="540"/>
        <w:jc w:val="both"/>
        <w:rPr>
          <w:szCs w:val="24"/>
        </w:rPr>
      </w:pPr>
      <w:r w:rsidRPr="00DF3A77">
        <w:rPr>
          <w:szCs w:val="24"/>
        </w:rPr>
        <w:t xml:space="preserve">Основні засоби обліковуються за 3 класами: будівлі та споруди (капітальний ремонт);  машини та обладнання; оргтехніка. Одиницею обліку вважати окремий об’єкт. Ліквідаційна вартість основних засобів для цілей амортизації приймається рівною 0грн. </w:t>
      </w:r>
    </w:p>
    <w:p w:rsidR="00DF3A77" w:rsidRPr="00DF3A77" w:rsidRDefault="00DF3A77" w:rsidP="00DF3A77">
      <w:pPr>
        <w:ind w:firstLine="540"/>
        <w:jc w:val="both"/>
        <w:rPr>
          <w:szCs w:val="24"/>
        </w:rPr>
      </w:pPr>
      <w:r w:rsidRPr="00DF3A77">
        <w:rPr>
          <w:szCs w:val="24"/>
        </w:rPr>
        <w:t>Вартість об’єкту основних засобів складається з:</w:t>
      </w:r>
    </w:p>
    <w:p w:rsidR="00DF3A77" w:rsidRPr="00DF3A77" w:rsidRDefault="00DF3A77" w:rsidP="00DF3A77">
      <w:pPr>
        <w:ind w:firstLine="540"/>
        <w:jc w:val="both"/>
        <w:rPr>
          <w:szCs w:val="24"/>
        </w:rPr>
      </w:pPr>
      <w:r w:rsidRPr="00DF3A77">
        <w:rPr>
          <w:szCs w:val="24"/>
        </w:rPr>
        <w:t>- купівельної вартості з урахуванням сплаченого мита;</w:t>
      </w:r>
    </w:p>
    <w:p w:rsidR="00DF3A77" w:rsidRPr="00DF3A77" w:rsidRDefault="00DF3A77" w:rsidP="00DF3A77">
      <w:pPr>
        <w:ind w:firstLine="540"/>
        <w:jc w:val="both"/>
        <w:rPr>
          <w:szCs w:val="24"/>
        </w:rPr>
      </w:pPr>
      <w:r w:rsidRPr="00DF3A77">
        <w:rPr>
          <w:szCs w:val="24"/>
        </w:rPr>
        <w:t>- будь-яких прямих витрат на доставку активу і доведення до стану, необхідного для його використання за призначенням;</w:t>
      </w:r>
    </w:p>
    <w:p w:rsidR="00DF3A77" w:rsidRPr="00DF3A77" w:rsidRDefault="00DF3A77" w:rsidP="00DF3A77">
      <w:pPr>
        <w:ind w:firstLine="540"/>
        <w:jc w:val="both"/>
        <w:rPr>
          <w:szCs w:val="24"/>
        </w:rPr>
      </w:pPr>
      <w:r w:rsidRPr="00DF3A77">
        <w:rPr>
          <w:szCs w:val="24"/>
        </w:rPr>
        <w:t>- сум непрямих податків, сплачених у зв’язку з придбанням (створенням) об’єкту основних засобів (якщо вони не повертаються підприємству);</w:t>
      </w:r>
    </w:p>
    <w:p w:rsidR="00DF3A77" w:rsidRPr="00DF3A77" w:rsidRDefault="00DF3A77" w:rsidP="00DF3A77">
      <w:pPr>
        <w:ind w:firstLine="540"/>
        <w:jc w:val="both"/>
        <w:rPr>
          <w:szCs w:val="24"/>
        </w:rPr>
      </w:pPr>
      <w:r w:rsidRPr="00DF3A77">
        <w:rPr>
          <w:szCs w:val="24"/>
        </w:rPr>
        <w:t>- первісної оцінки витрат на демонтаж і переміщення активу;</w:t>
      </w:r>
    </w:p>
    <w:p w:rsidR="00DF3A77" w:rsidRPr="00DF3A77" w:rsidRDefault="00DF3A77" w:rsidP="00DF3A77">
      <w:pPr>
        <w:ind w:firstLine="540"/>
        <w:jc w:val="both"/>
        <w:rPr>
          <w:szCs w:val="24"/>
        </w:rPr>
      </w:pPr>
      <w:r w:rsidRPr="00DF3A77">
        <w:rPr>
          <w:szCs w:val="24"/>
        </w:rPr>
        <w:t>- матеріалів, оплати праці та інших витрат на основні засоби, що створюються власними силами;</w:t>
      </w:r>
    </w:p>
    <w:p w:rsidR="00DF3A77" w:rsidRPr="00DF3A77" w:rsidRDefault="00DF3A77" w:rsidP="00DF3A77">
      <w:pPr>
        <w:ind w:firstLine="540"/>
        <w:jc w:val="both"/>
        <w:rPr>
          <w:szCs w:val="24"/>
        </w:rPr>
      </w:pPr>
      <w:r w:rsidRPr="00DF3A77">
        <w:rPr>
          <w:szCs w:val="24"/>
        </w:rPr>
        <w:t>- витрат, пов’язаних з капітальним ремонтом, функціональним поліпшенням.</w:t>
      </w:r>
    </w:p>
    <w:p w:rsidR="00DF3A77" w:rsidRPr="00DF3A77" w:rsidRDefault="00DF3A77" w:rsidP="00DF3A77">
      <w:pPr>
        <w:ind w:firstLine="540"/>
        <w:jc w:val="both"/>
        <w:rPr>
          <w:i/>
          <w:szCs w:val="24"/>
        </w:rPr>
      </w:pPr>
      <w:r w:rsidRPr="00DF3A77">
        <w:rPr>
          <w:i/>
          <w:szCs w:val="24"/>
        </w:rPr>
        <w:t>Нематеріальні активи.</w:t>
      </w:r>
    </w:p>
    <w:p w:rsidR="00DF3A77" w:rsidRPr="00DF3A77" w:rsidRDefault="00DF3A77" w:rsidP="00DF3A77">
      <w:pPr>
        <w:ind w:firstLine="540"/>
        <w:jc w:val="both"/>
        <w:rPr>
          <w:szCs w:val="24"/>
        </w:rPr>
      </w:pPr>
      <w:r w:rsidRPr="00DF3A77">
        <w:rPr>
          <w:szCs w:val="24"/>
        </w:rPr>
        <w:t xml:space="preserve">При нарахуванні амортизації нематеріальних активів використовується прямолінійний метод. Термін корисного використання нематеріальних активів визначається по кожному нематеріальному активу, який надходить до підприємства, й затверджується наказом по підприємству. Одиницею обліку вважається окремий об’єкт. </w:t>
      </w:r>
    </w:p>
    <w:p w:rsidR="00DF3A77" w:rsidRPr="00DF3A77" w:rsidRDefault="00DF3A77" w:rsidP="00DF3A77">
      <w:pPr>
        <w:ind w:firstLine="540"/>
        <w:jc w:val="both"/>
        <w:rPr>
          <w:szCs w:val="24"/>
        </w:rPr>
      </w:pPr>
      <w:r w:rsidRPr="00DF3A77">
        <w:rPr>
          <w:i/>
          <w:szCs w:val="24"/>
        </w:rPr>
        <w:lastRenderedPageBreak/>
        <w:t>Податки на прибуток</w:t>
      </w:r>
      <w:r w:rsidRPr="00DF3A77">
        <w:rPr>
          <w:szCs w:val="24"/>
        </w:rPr>
        <w:t xml:space="preserve">. </w:t>
      </w:r>
    </w:p>
    <w:p w:rsidR="00DF3A77" w:rsidRPr="00DF3A77" w:rsidRDefault="00DF3A77" w:rsidP="00DF3A77">
      <w:pPr>
        <w:ind w:firstLine="540"/>
        <w:jc w:val="both"/>
        <w:rPr>
          <w:szCs w:val="24"/>
        </w:rPr>
      </w:pPr>
      <w:r w:rsidRPr="00DF3A77">
        <w:rPr>
          <w:szCs w:val="24"/>
        </w:rPr>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DF3A77" w:rsidRPr="00DF3A77" w:rsidRDefault="00DF3A77" w:rsidP="00DF3A77">
      <w:pPr>
        <w:ind w:firstLine="540"/>
        <w:jc w:val="both"/>
        <w:rPr>
          <w:szCs w:val="24"/>
        </w:rPr>
      </w:pPr>
      <w:r w:rsidRPr="00DF3A77">
        <w:rPr>
          <w:szCs w:val="24"/>
        </w:rPr>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Інші податки, крім податку на прибуток, відображені у складі адміністративних та інших операційних витрат.</w:t>
      </w:r>
    </w:p>
    <w:p w:rsidR="00DF3A77" w:rsidRPr="00DF3A77" w:rsidRDefault="00DF3A77" w:rsidP="00DF3A77">
      <w:pPr>
        <w:ind w:firstLine="540"/>
        <w:jc w:val="both"/>
        <w:rPr>
          <w:szCs w:val="24"/>
        </w:rPr>
      </w:pPr>
      <w:r w:rsidRPr="00DF3A77">
        <w:rPr>
          <w:szCs w:val="24"/>
        </w:rPr>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DF3A77" w:rsidRPr="00DF3A77" w:rsidRDefault="00DF3A77" w:rsidP="00DF3A77">
      <w:pPr>
        <w:ind w:firstLine="540"/>
        <w:jc w:val="both"/>
        <w:rPr>
          <w:i/>
          <w:szCs w:val="24"/>
        </w:rPr>
      </w:pPr>
      <w:r w:rsidRPr="00DF3A77">
        <w:rPr>
          <w:i/>
          <w:szCs w:val="24"/>
        </w:rPr>
        <w:t>Запаси.</w:t>
      </w:r>
    </w:p>
    <w:p w:rsidR="00DF3A77" w:rsidRPr="00DF3A77" w:rsidRDefault="00DF3A77" w:rsidP="00DF3A77">
      <w:pPr>
        <w:ind w:firstLine="540"/>
        <w:jc w:val="both"/>
        <w:rPr>
          <w:szCs w:val="24"/>
        </w:rPr>
      </w:pPr>
      <w:r w:rsidRPr="00DF3A77">
        <w:rPr>
          <w:szCs w:val="24"/>
        </w:rPr>
        <w:t xml:space="preserve">Оцінка запасів виконується по найменшій з двох величин, собівартості і можливій чистій реалізаційній вартості. </w:t>
      </w:r>
    </w:p>
    <w:p w:rsidR="00DF3A77" w:rsidRPr="00DF3A77" w:rsidRDefault="00DF3A77" w:rsidP="00DF3A77">
      <w:pPr>
        <w:ind w:firstLine="540"/>
        <w:jc w:val="both"/>
        <w:rPr>
          <w:szCs w:val="24"/>
        </w:rPr>
      </w:pPr>
      <w:r w:rsidRPr="00DF3A77">
        <w:rPr>
          <w:szCs w:val="24"/>
        </w:rPr>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DF3A77" w:rsidRPr="00DF3A77" w:rsidRDefault="00DF3A77" w:rsidP="00DF3A77">
      <w:pPr>
        <w:ind w:firstLine="540"/>
        <w:jc w:val="both"/>
        <w:rPr>
          <w:szCs w:val="24"/>
        </w:rPr>
      </w:pPr>
      <w:r w:rsidRPr="00DF3A77">
        <w:rPr>
          <w:szCs w:val="24"/>
        </w:rPr>
        <w:t>Оцінка вибуття запасів (матеріалів, сировини (палива), комплектуючих виробів, МШП, товарів) при відпуску  у виробництво чи при іншому вибутті  визначати за методом собівартості перших за часом надходження запасів (FIFO).</w:t>
      </w:r>
    </w:p>
    <w:p w:rsidR="00DF3A77" w:rsidRPr="00DF3A77" w:rsidRDefault="00DF3A77" w:rsidP="00DF3A77">
      <w:pPr>
        <w:ind w:firstLine="540"/>
        <w:jc w:val="both"/>
        <w:rPr>
          <w:szCs w:val="24"/>
        </w:rPr>
      </w:pPr>
      <w:r w:rsidRPr="00DF3A77">
        <w:rPr>
          <w:szCs w:val="24"/>
        </w:rPr>
        <w:t>Малоцінними та швидкозношуваними предметами вважаються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DF3A77" w:rsidRPr="00DF3A77" w:rsidRDefault="00DF3A77" w:rsidP="00DF3A77">
      <w:pPr>
        <w:ind w:firstLine="540"/>
        <w:jc w:val="both"/>
        <w:rPr>
          <w:i/>
          <w:szCs w:val="24"/>
        </w:rPr>
      </w:pPr>
      <w:r w:rsidRPr="00DF3A77">
        <w:rPr>
          <w:i/>
          <w:szCs w:val="24"/>
        </w:rPr>
        <w:t>Резерви, забезпечення, зобов’язання, відстрочені податки.</w:t>
      </w:r>
    </w:p>
    <w:p w:rsidR="00DF3A77" w:rsidRPr="00DF3A77" w:rsidRDefault="00DF3A77" w:rsidP="00DF3A77">
      <w:pPr>
        <w:ind w:firstLine="540"/>
        <w:jc w:val="both"/>
        <w:rPr>
          <w:szCs w:val="24"/>
        </w:rPr>
      </w:pPr>
      <w:r w:rsidRPr="00DF3A77">
        <w:rPr>
          <w:szCs w:val="24"/>
        </w:rPr>
        <w:t xml:space="preserve">Створюються резерви забезпечення майбутніх витрат і платежів пов’язаних з оплатою праці. </w:t>
      </w:r>
      <w:bookmarkStart w:id="5" w:name="59"/>
      <w:bookmarkEnd w:id="5"/>
      <w:r w:rsidRPr="00DF3A77">
        <w:rPr>
          <w:szCs w:val="24"/>
        </w:rPr>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  довгострокові; поточні;  забезпечення; доходи майбутніх періодів.</w:t>
      </w:r>
    </w:p>
    <w:p w:rsidR="00DF3A77" w:rsidRPr="00DF3A77" w:rsidRDefault="00DF3A77" w:rsidP="00DF3A77">
      <w:pPr>
        <w:ind w:firstLine="540"/>
        <w:jc w:val="both"/>
        <w:rPr>
          <w:szCs w:val="24"/>
        </w:rPr>
      </w:pPr>
      <w:r w:rsidRPr="00DF3A77">
        <w:rPr>
          <w:szCs w:val="24"/>
        </w:rPr>
        <w:t>До короткострокових (поточних) зобов’язань відносяться зобов’язання, що задовольняють будь-який із перелічених критеріїв:</w:t>
      </w:r>
    </w:p>
    <w:p w:rsidR="00DF3A77" w:rsidRPr="00DF3A77" w:rsidRDefault="00DF3A77" w:rsidP="00DF3A77">
      <w:pPr>
        <w:ind w:firstLine="540"/>
        <w:jc w:val="both"/>
        <w:rPr>
          <w:szCs w:val="24"/>
        </w:rPr>
      </w:pPr>
      <w:r w:rsidRPr="00DF3A77">
        <w:rPr>
          <w:szCs w:val="24"/>
        </w:rPr>
        <w:t xml:space="preserve">- зобов’язання підлягає погашенню в межах звичайного виробничого циклу організації; </w:t>
      </w:r>
    </w:p>
    <w:p w:rsidR="00DF3A77" w:rsidRPr="00DF3A77" w:rsidRDefault="00DF3A77" w:rsidP="00DF3A77">
      <w:pPr>
        <w:ind w:firstLine="540"/>
        <w:jc w:val="both"/>
        <w:rPr>
          <w:szCs w:val="24"/>
        </w:rPr>
      </w:pPr>
      <w:r w:rsidRPr="00DF3A77">
        <w:rPr>
          <w:szCs w:val="24"/>
        </w:rPr>
        <w:t xml:space="preserve">- зобов’язання призначене для продажу і підлягає погашенню протягом 12 місяців після звітної дати; </w:t>
      </w:r>
    </w:p>
    <w:p w:rsidR="00DF3A77" w:rsidRPr="00DF3A77" w:rsidRDefault="00DF3A77" w:rsidP="00DF3A77">
      <w:pPr>
        <w:ind w:firstLine="540"/>
        <w:jc w:val="both"/>
        <w:rPr>
          <w:szCs w:val="24"/>
        </w:rPr>
      </w:pPr>
      <w:r w:rsidRPr="00DF3A77">
        <w:rPr>
          <w:szCs w:val="24"/>
        </w:rPr>
        <w:t>- у підприємства немає безумовного права відкладати погашення зобов’язання протягом якнайменше 12 місяців після звітної дати.</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w:t>
      </w:r>
      <w:proofErr w:type="spellStart"/>
      <w:r w:rsidRPr="00DF3A77">
        <w:rPr>
          <w:rFonts w:ascii="Times New Roman" w:eastAsia="Times New Roman" w:hAnsi="Times New Roman" w:cs="Times New Roman"/>
          <w:color w:val="00000A"/>
          <w:lang w:eastAsia="zh-CN"/>
        </w:rPr>
        <w:t>зобов'язань.</w:t>
      </w:r>
      <w:r w:rsidRPr="00331FFC">
        <w:rPr>
          <w:rFonts w:ascii="Times New Roman" w:eastAsia="Times New Roman" w:hAnsi="Times New Roman" w:cs="Times New Roman"/>
          <w:color w:val="00000A"/>
          <w:lang w:eastAsia="zh-CN"/>
        </w:rPr>
        <w:t>Е</w:t>
      </w:r>
      <w:r w:rsidRPr="00DF3A77">
        <w:rPr>
          <w:rFonts w:ascii="Times New Roman" w:eastAsia="Times New Roman" w:hAnsi="Times New Roman" w:cs="Times New Roman"/>
          <w:color w:val="00000A"/>
          <w:lang w:eastAsia="zh-CN"/>
        </w:rPr>
        <w:t>кономічна</w:t>
      </w:r>
      <w:proofErr w:type="spellEnd"/>
      <w:r w:rsidRPr="00DF3A77">
        <w:rPr>
          <w:rFonts w:ascii="Times New Roman" w:eastAsia="Times New Roman" w:hAnsi="Times New Roman" w:cs="Times New Roman"/>
          <w:color w:val="00000A"/>
          <w:lang w:eastAsia="zh-CN"/>
        </w:rPr>
        <w:t xml:space="preserve"> суть формування резерву полягає в тому, аби рівномірно перерозподілити витрати протягом року й тим самим не спотворити звітність</w:t>
      </w:r>
      <w:r w:rsidRPr="00331FFC">
        <w:rPr>
          <w:rFonts w:ascii="Times New Roman" w:eastAsia="Times New Roman" w:hAnsi="Times New Roman" w:cs="Times New Roman"/>
          <w:color w:val="00000A"/>
          <w:lang w:eastAsia="zh-CN"/>
        </w:rPr>
        <w:t>.</w:t>
      </w:r>
      <w:r w:rsidR="00EA6E43">
        <w:rPr>
          <w:rFonts w:ascii="Times New Roman" w:eastAsia="Times New Roman" w:hAnsi="Times New Roman" w:cs="Times New Roman"/>
          <w:color w:val="00000A"/>
          <w:lang w:eastAsia="zh-CN"/>
        </w:rPr>
        <w:t xml:space="preserve"> </w:t>
      </w:r>
      <w:r w:rsidRPr="00DF3A77">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lastRenderedPageBreak/>
        <w:t>Таким чином, Товариство формує наступні забезпечення й резерви:</w:t>
      </w:r>
    </w:p>
    <w:p w:rsidR="00DF3A77" w:rsidRPr="00DF3A77" w:rsidRDefault="00DF3A77" w:rsidP="00DF3A77">
      <w:pPr>
        <w:pStyle w:val="Standard"/>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витрат відпусток та нарахувань визначають як добуток фактично нарахованої суми зарплати працівникам за місяць на відсоток резервування (</w:t>
      </w:r>
      <w:proofErr w:type="spellStart"/>
      <w:r w:rsidRPr="00DF3A77">
        <w:rPr>
          <w:rFonts w:ascii="Times New Roman" w:eastAsia="Times New Roman" w:hAnsi="Times New Roman" w:cs="Times New Roman"/>
          <w:color w:val="00000A"/>
          <w:lang w:eastAsia="zh-CN"/>
        </w:rPr>
        <w:t>Крезерв</w:t>
      </w:r>
      <w:proofErr w:type="spellEnd"/>
      <w:r w:rsidRPr="00DF3A77">
        <w:rPr>
          <w:rFonts w:ascii="Times New Roman" w:eastAsia="Times New Roman" w:hAnsi="Times New Roman" w:cs="Times New Roman"/>
          <w:color w:val="00000A"/>
          <w:lang w:eastAsia="zh-CN"/>
        </w:rPr>
        <w:t>). Аналогічно визначається сума забезпечення обов'язкових відрахувань  із забезпечення оплат відпусток на загальнообов'язкове державне соціальне страхування – ЄСВ.</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Резерв </w:t>
      </w:r>
      <w:r w:rsidR="00CE1063">
        <w:rPr>
          <w:rFonts w:ascii="Times New Roman" w:eastAsia="Times New Roman" w:hAnsi="Times New Roman" w:cs="Times New Roman"/>
          <w:color w:val="00000A"/>
          <w:lang w:eastAsia="zh-CN"/>
        </w:rPr>
        <w:t>очікуваних кредитних збитків</w:t>
      </w:r>
      <w:r w:rsidRPr="00DF3A77">
        <w:rPr>
          <w:rFonts w:ascii="Times New Roman" w:eastAsia="Times New Roman" w:hAnsi="Times New Roman" w:cs="Times New Roman"/>
          <w:color w:val="00000A"/>
          <w:lang w:eastAsia="zh-CN"/>
        </w:rPr>
        <w:t xml:space="preserve">. </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b/>
          <w:bCs/>
          <w:color w:val="00000A"/>
          <w:lang w:val="ru-RU" w:eastAsia="zh-CN"/>
        </w:rPr>
      </w:pPr>
      <w:r w:rsidRPr="00DF3A77">
        <w:rPr>
          <w:rFonts w:ascii="Times New Roman" w:eastAsia="Times New Roman" w:hAnsi="Times New Roman" w:cs="Times New Roman"/>
          <w:color w:val="00000A"/>
          <w:lang w:eastAsia="zh-CN"/>
        </w:rPr>
        <w:t>Забезпечення інших витрат політикою не передбачено.</w:t>
      </w:r>
    </w:p>
    <w:p w:rsidR="00DF3A77" w:rsidRPr="00DF3A77" w:rsidRDefault="00DF3A77" w:rsidP="00DF3A77">
      <w:pPr>
        <w:pStyle w:val="Standard"/>
        <w:widowControl w:val="0"/>
        <w:ind w:left="567"/>
        <w:jc w:val="both"/>
        <w:rPr>
          <w:rFonts w:ascii="Times New Roman" w:eastAsia="Times New Roman" w:hAnsi="Times New Roman" w:cs="Times New Roman"/>
          <w:color w:val="00000A"/>
          <w:lang w:val="ru-RU" w:eastAsia="zh-CN"/>
        </w:rPr>
      </w:pPr>
    </w:p>
    <w:p w:rsidR="00DF3A77" w:rsidRPr="00DF3A77" w:rsidRDefault="00DF3A77" w:rsidP="00DF3A77">
      <w:pPr>
        <w:pStyle w:val="13"/>
        <w:shd w:val="clear" w:color="auto" w:fill="auto"/>
        <w:tabs>
          <w:tab w:val="left" w:pos="0"/>
        </w:tabs>
        <w:spacing w:before="0" w:after="0" w:line="240" w:lineRule="auto"/>
        <w:ind w:firstLine="709"/>
        <w:rPr>
          <w:rFonts w:ascii="Times New Roman" w:hAnsi="Times New Roman" w:cs="Times New Roman"/>
          <w:i/>
          <w:sz w:val="24"/>
          <w:szCs w:val="24"/>
        </w:rPr>
      </w:pPr>
      <w:r w:rsidRPr="00DF3A77">
        <w:rPr>
          <w:rFonts w:ascii="Times New Roman" w:hAnsi="Times New Roman" w:cs="Times New Roman"/>
          <w:i/>
          <w:sz w:val="24"/>
          <w:szCs w:val="24"/>
        </w:rPr>
        <w:t>Знецінення активів</w:t>
      </w:r>
    </w:p>
    <w:p w:rsidR="00DF3A77" w:rsidRPr="00DF3A77" w:rsidRDefault="00DF3A77" w:rsidP="00DF3A77">
      <w:pPr>
        <w:ind w:firstLine="709"/>
        <w:contextualSpacing/>
        <w:jc w:val="both"/>
        <w:rPr>
          <w:szCs w:val="24"/>
        </w:rPr>
      </w:pPr>
      <w:r w:rsidRPr="00DF3A77">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DF3A77" w:rsidRPr="00DF3A77" w:rsidRDefault="00DF3A77" w:rsidP="00DF3A77">
      <w:pPr>
        <w:ind w:firstLine="709"/>
        <w:contextualSpacing/>
        <w:jc w:val="both"/>
        <w:rPr>
          <w:szCs w:val="24"/>
        </w:rPr>
      </w:pPr>
      <w:r w:rsidRPr="00DF3A77">
        <w:rPr>
          <w:szCs w:val="24"/>
        </w:rPr>
        <w:t>На дату складання фінансової звітності Товариство розглядає наявність ознак знецінення активів:</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зменшення ринкової вартості активу протягом звітного періоду на істотну величину, ніж очікувалося;</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старіння або фізичне пошкодження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перевищення балансової вартості чистих активів над їх ринковою вартістю;</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DF3A77" w:rsidRPr="00DF3A77" w:rsidRDefault="00DF3A77" w:rsidP="00DF3A77">
      <w:pPr>
        <w:ind w:firstLine="709"/>
        <w:contextualSpacing/>
        <w:jc w:val="both"/>
        <w:rPr>
          <w:szCs w:val="24"/>
        </w:rPr>
      </w:pPr>
      <w:r w:rsidRPr="00DF3A77">
        <w:rPr>
          <w:szCs w:val="24"/>
        </w:rPr>
        <w:t>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зменшення у звіті про фінансові результати з одночасним зменшенням балансової вартості активу до суми очікуваного відшкодування.</w:t>
      </w:r>
    </w:p>
    <w:p w:rsidR="00DF3A77" w:rsidRPr="00DF3A77" w:rsidRDefault="00DF3A77" w:rsidP="00DF3A77">
      <w:pPr>
        <w:ind w:firstLine="709"/>
        <w:contextualSpacing/>
        <w:jc w:val="both"/>
        <w:rPr>
          <w:szCs w:val="24"/>
        </w:rPr>
      </w:pPr>
      <w:r w:rsidRPr="00DF3A77">
        <w:rPr>
          <w:szCs w:val="24"/>
        </w:rPr>
        <w:t>У разі відсутності ознак знецінення одиниці в цілому у звітності не відображається.</w:t>
      </w:r>
    </w:p>
    <w:p w:rsidR="00DF3A77" w:rsidRPr="00DF3A77" w:rsidRDefault="00DF3A77" w:rsidP="00DF3A77">
      <w:pPr>
        <w:pStyle w:val="13"/>
        <w:shd w:val="clear" w:color="auto" w:fill="auto"/>
        <w:tabs>
          <w:tab w:val="left" w:pos="0"/>
        </w:tabs>
        <w:spacing w:before="0" w:after="0" w:line="240" w:lineRule="auto"/>
        <w:ind w:firstLine="567"/>
        <w:jc w:val="both"/>
        <w:rPr>
          <w:rFonts w:ascii="Times New Roman" w:hAnsi="Times New Roman" w:cs="Times New Roman"/>
          <w:sz w:val="24"/>
          <w:szCs w:val="24"/>
          <w:lang w:val="ru-RU"/>
        </w:rPr>
      </w:pPr>
    </w:p>
    <w:p w:rsidR="00DF3A77" w:rsidRPr="00DF3A77" w:rsidRDefault="00DF3A77" w:rsidP="00DF3A77">
      <w:pPr>
        <w:pStyle w:val="Standard"/>
        <w:widowControl w:val="0"/>
        <w:ind w:firstLine="567"/>
        <w:rPr>
          <w:rFonts w:ascii="Times New Roman" w:eastAsia="Times New Roman" w:hAnsi="Times New Roman" w:cs="Times New Roman"/>
          <w:bCs/>
          <w:i/>
          <w:lang w:eastAsia="zh-CN"/>
        </w:rPr>
      </w:pPr>
      <w:r w:rsidRPr="00DF3A77">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DF3A77" w:rsidRPr="00DF3A77" w:rsidRDefault="00DF3A77" w:rsidP="00DF3A77">
      <w:pPr>
        <w:pStyle w:val="Default"/>
        <w:ind w:firstLine="567"/>
        <w:contextualSpacing/>
        <w:jc w:val="both"/>
        <w:rPr>
          <w:rStyle w:val="FontStyle20"/>
          <w:b/>
          <w:color w:val="auto"/>
          <w:sz w:val="24"/>
          <w:lang w:val="uk-UA"/>
        </w:rPr>
      </w:pPr>
      <w:r w:rsidRPr="00DF3A77">
        <w:rPr>
          <w:rStyle w:val="FontStyle20"/>
          <w:sz w:val="24"/>
          <w:lang w:val="uk-UA"/>
        </w:rPr>
        <w:t>Методики оцінювання та вхідні дані, використані для складання оцінок за справедливою вартістю:</w:t>
      </w:r>
    </w:p>
    <w:p w:rsidR="00DF3A77" w:rsidRPr="00DF3A77" w:rsidRDefault="00DF3A77" w:rsidP="00DF3A77">
      <w:pPr>
        <w:shd w:val="clear" w:color="auto" w:fill="FFFFFF"/>
        <w:adjustRightInd w:val="0"/>
        <w:ind w:firstLine="567"/>
        <w:contextualSpacing/>
        <w:jc w:val="both"/>
        <w:rPr>
          <w:rStyle w:val="FontStyle20"/>
          <w:sz w:val="24"/>
          <w:szCs w:val="24"/>
        </w:rPr>
      </w:pPr>
      <w:r w:rsidRPr="00DF3A77">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Класи активів та зобов’язань, оцінених</w:t>
            </w:r>
          </w:p>
          <w:p w:rsidR="00DF3A77" w:rsidRPr="00DF3A77" w:rsidRDefault="00DF3A77" w:rsidP="00234E51">
            <w:pPr>
              <w:contextualSpacing/>
              <w:rPr>
                <w:szCs w:val="24"/>
              </w:rPr>
            </w:pPr>
            <w:r w:rsidRPr="00DF3A77">
              <w:rPr>
                <w:szCs w:val="24"/>
              </w:rPr>
              <w:t>за справедливою</w:t>
            </w:r>
          </w:p>
          <w:p w:rsidR="00DF3A77" w:rsidRPr="00DF3A77" w:rsidRDefault="00DF3A77" w:rsidP="00234E51">
            <w:pPr>
              <w:contextualSpacing/>
              <w:rPr>
                <w:szCs w:val="24"/>
              </w:rPr>
            </w:pPr>
            <w:r w:rsidRPr="00DF3A77">
              <w:rPr>
                <w:szCs w:val="24"/>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Вихідні дані</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Грошові кошти та їх</w:t>
            </w:r>
          </w:p>
          <w:p w:rsidR="00DF3A77" w:rsidRPr="00DF3A77" w:rsidRDefault="00DF3A77" w:rsidP="00234E51">
            <w:pPr>
              <w:contextualSpacing/>
              <w:jc w:val="both"/>
              <w:rPr>
                <w:szCs w:val="24"/>
              </w:rPr>
            </w:pPr>
            <w:r w:rsidRPr="00DF3A77">
              <w:rPr>
                <w:szCs w:val="24"/>
              </w:rPr>
              <w:t>Еквіваленти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Офіційні курси НБУ</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Депозити (крім</w:t>
            </w:r>
          </w:p>
          <w:p w:rsidR="00DF3A77" w:rsidRPr="00DF3A77" w:rsidRDefault="00DF3A77" w:rsidP="00234E51">
            <w:pPr>
              <w:contextualSpacing/>
              <w:jc w:val="both"/>
              <w:rPr>
                <w:szCs w:val="24"/>
              </w:rPr>
            </w:pPr>
            <w:r w:rsidRPr="00DF3A77">
              <w:rPr>
                <w:szCs w:val="24"/>
              </w:rPr>
              <w:t>депозитів до</w:t>
            </w:r>
          </w:p>
          <w:p w:rsidR="00DF3A77" w:rsidRPr="00DF3A77" w:rsidRDefault="00DF3A77" w:rsidP="00234E51">
            <w:pPr>
              <w:contextualSpacing/>
              <w:jc w:val="both"/>
              <w:rPr>
                <w:szCs w:val="24"/>
              </w:rPr>
            </w:pPr>
            <w:r w:rsidRPr="00DF3A77">
              <w:rPr>
                <w:szCs w:val="24"/>
              </w:rPr>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оцінка депозиту здійснюється за його</w:t>
            </w:r>
          </w:p>
          <w:p w:rsidR="00DF3A77" w:rsidRPr="00DF3A77" w:rsidRDefault="00DF3A77" w:rsidP="00234E51">
            <w:pPr>
              <w:contextualSpacing/>
              <w:jc w:val="both"/>
              <w:rPr>
                <w:szCs w:val="24"/>
              </w:rPr>
            </w:pPr>
            <w:r w:rsidRPr="00DF3A77">
              <w:rPr>
                <w:szCs w:val="24"/>
              </w:rPr>
              <w:t>справедливою вартістю, яка зазвичай дорівнює</w:t>
            </w:r>
          </w:p>
          <w:p w:rsidR="00DF3A77" w:rsidRPr="00DF3A77" w:rsidRDefault="00DF3A77" w:rsidP="00234E51">
            <w:pPr>
              <w:contextualSpacing/>
              <w:jc w:val="both"/>
              <w:rPr>
                <w:szCs w:val="24"/>
              </w:rPr>
            </w:pPr>
            <w:r w:rsidRPr="00DF3A77">
              <w:rPr>
                <w:szCs w:val="24"/>
              </w:rPr>
              <w:t xml:space="preserve">його номінальній вартості. Подальша оцінка депозитів у національній валюті здійснюється за справедливою </w:t>
            </w:r>
            <w:r w:rsidRPr="00DF3A77">
              <w:rPr>
                <w:szCs w:val="24"/>
              </w:rPr>
              <w:lastRenderedPageBreak/>
              <w:t>вартістю очікуваних 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Дохідний (дисконтування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Ставки за депозитами, ефективні ставки за депозитними договорами</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 xml:space="preserve">Офіційні біржові курси організаторів торгів на дату оцінки, котирування аналогічних боргових цінних паперів, </w:t>
            </w:r>
            <w:proofErr w:type="spellStart"/>
            <w:r w:rsidRPr="00DF3A77">
              <w:rPr>
                <w:szCs w:val="24"/>
              </w:rPr>
              <w:t>дисконтовані</w:t>
            </w:r>
            <w:proofErr w:type="spellEnd"/>
            <w:r w:rsidRPr="00DF3A77">
              <w:rPr>
                <w:szCs w:val="24"/>
              </w:rPr>
              <w:t xml:space="preserve"> потоки грошових коштів</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w:t>
            </w:r>
          </w:p>
          <w:p w:rsidR="00DF3A77" w:rsidRPr="00DF3A77" w:rsidRDefault="00DF3A77" w:rsidP="00234E51">
            <w:pPr>
              <w:contextualSpacing/>
              <w:jc w:val="both"/>
              <w:rPr>
                <w:szCs w:val="24"/>
              </w:rPr>
            </w:pPr>
            <w:r w:rsidRPr="00DF3A77">
              <w:rPr>
                <w:szCs w:val="24"/>
              </w:rPr>
              <w:t>вартість, ціни закриття біржового торгового дня</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Контрактні умови, ймовірність погашення, очікувані</w:t>
            </w:r>
          </w:p>
          <w:p w:rsidR="00DF3A77" w:rsidRPr="00DF3A77" w:rsidRDefault="00DF3A77" w:rsidP="00234E51">
            <w:pPr>
              <w:contextualSpacing/>
              <w:jc w:val="both"/>
              <w:rPr>
                <w:szCs w:val="24"/>
              </w:rPr>
            </w:pPr>
            <w:r w:rsidRPr="00DF3A77">
              <w:rPr>
                <w:szCs w:val="24"/>
              </w:rPr>
              <w:t>вхідні грошові потоки</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поточних зобов’язань</w:t>
            </w:r>
          </w:p>
          <w:p w:rsidR="00DF3A77" w:rsidRPr="00DF3A77" w:rsidRDefault="00DF3A77" w:rsidP="00234E51">
            <w:pPr>
              <w:contextualSpacing/>
              <w:jc w:val="both"/>
              <w:rPr>
                <w:szCs w:val="24"/>
              </w:rPr>
            </w:pPr>
            <w:r w:rsidRPr="00DF3A77">
              <w:rPr>
                <w:szCs w:val="24"/>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Контрактні умови, ймовірність погашення, очікувані</w:t>
            </w:r>
          </w:p>
          <w:p w:rsidR="00DF3A77" w:rsidRPr="00DF3A77" w:rsidRDefault="00DF3A77" w:rsidP="00234E51">
            <w:pPr>
              <w:contextualSpacing/>
              <w:jc w:val="both"/>
              <w:rPr>
                <w:szCs w:val="24"/>
              </w:rPr>
            </w:pPr>
            <w:r w:rsidRPr="00DF3A77">
              <w:rPr>
                <w:szCs w:val="24"/>
              </w:rPr>
              <w:t>вихідні грошові потоки</w:t>
            </w:r>
          </w:p>
        </w:tc>
      </w:tr>
    </w:tbl>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ind w:firstLine="540"/>
        <w:jc w:val="both"/>
        <w:rPr>
          <w:i/>
          <w:szCs w:val="24"/>
        </w:rPr>
      </w:pPr>
      <w:r w:rsidRPr="00DF3A77">
        <w:rPr>
          <w:i/>
          <w:szCs w:val="24"/>
        </w:rPr>
        <w:t>Доходи і витрати.</w:t>
      </w:r>
    </w:p>
    <w:p w:rsidR="00DF3A77" w:rsidRPr="00DF3A77" w:rsidRDefault="00DF3A77" w:rsidP="00DF3A77">
      <w:pPr>
        <w:ind w:firstLine="540"/>
        <w:jc w:val="both"/>
        <w:rPr>
          <w:szCs w:val="24"/>
        </w:rPr>
      </w:pPr>
      <w:r w:rsidRPr="00DF3A77">
        <w:rPr>
          <w:szCs w:val="24"/>
        </w:rPr>
        <w:t>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DF3A77" w:rsidRPr="00DF3A77" w:rsidRDefault="00DF3A77" w:rsidP="00DF3A77">
      <w:pPr>
        <w:ind w:firstLine="540"/>
        <w:jc w:val="both"/>
        <w:rPr>
          <w:szCs w:val="24"/>
        </w:rPr>
      </w:pPr>
      <w:r w:rsidRPr="00DF3A77">
        <w:rPr>
          <w:i/>
          <w:szCs w:val="24"/>
        </w:rPr>
        <w:t>Податковий облік.</w:t>
      </w:r>
    </w:p>
    <w:p w:rsidR="00DF3A77" w:rsidRPr="00DF3A77" w:rsidRDefault="00DF3A77" w:rsidP="00DF3A77">
      <w:pPr>
        <w:ind w:firstLine="540"/>
        <w:jc w:val="both"/>
        <w:rPr>
          <w:szCs w:val="24"/>
        </w:rPr>
      </w:pPr>
      <w:r w:rsidRPr="00DF3A77">
        <w:rPr>
          <w:szCs w:val="24"/>
        </w:rPr>
        <w:t xml:space="preserve">Податковий облік здійснювати у відповідності до вимог податкового законодавства України. </w:t>
      </w:r>
      <w:bookmarkStart w:id="6" w:name="29"/>
      <w:bookmarkStart w:id="7" w:name="30"/>
      <w:bookmarkStart w:id="8" w:name="31"/>
      <w:bookmarkStart w:id="9" w:name="32"/>
      <w:bookmarkStart w:id="10" w:name="33"/>
      <w:bookmarkStart w:id="11" w:name="34"/>
      <w:bookmarkEnd w:id="6"/>
      <w:bookmarkEnd w:id="7"/>
      <w:bookmarkEnd w:id="8"/>
      <w:bookmarkEnd w:id="9"/>
      <w:bookmarkEnd w:id="10"/>
      <w:bookmarkEnd w:id="11"/>
      <w:r w:rsidRPr="00DF3A77">
        <w:rPr>
          <w:szCs w:val="24"/>
        </w:rPr>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w:t>
      </w:r>
      <w:r w:rsidRPr="00DF3A77">
        <w:rPr>
          <w:szCs w:val="24"/>
        </w:rPr>
        <w:lastRenderedPageBreak/>
        <w:t xml:space="preserve">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DF3A77" w:rsidRPr="00DF3A77" w:rsidRDefault="00DF3A77" w:rsidP="00DF3A77">
      <w:pPr>
        <w:ind w:firstLine="540"/>
        <w:jc w:val="both"/>
        <w:rPr>
          <w:b/>
          <w:bCs/>
          <w:szCs w:val="24"/>
        </w:rPr>
      </w:pPr>
    </w:p>
    <w:p w:rsidR="00DF3A77" w:rsidRPr="00DF3A77" w:rsidRDefault="00DF3A77" w:rsidP="00DF3A77">
      <w:pPr>
        <w:ind w:firstLine="540"/>
        <w:jc w:val="both"/>
        <w:rPr>
          <w:b/>
          <w:bCs/>
          <w:szCs w:val="24"/>
        </w:rPr>
      </w:pPr>
      <w:r w:rsidRPr="00DF3A77">
        <w:rPr>
          <w:b/>
          <w:bCs/>
          <w:szCs w:val="24"/>
        </w:rPr>
        <w:t>4. Істотні судження  та основні джерела невизначеності в процесі застосування облікової політики.</w:t>
      </w:r>
    </w:p>
    <w:p w:rsidR="00DF3A77" w:rsidRPr="00DF3A77" w:rsidRDefault="00DF3A77" w:rsidP="00DF3A77">
      <w:pPr>
        <w:shd w:val="clear" w:color="auto" w:fill="FFFFFF"/>
        <w:autoSpaceDE w:val="0"/>
        <w:autoSpaceDN w:val="0"/>
        <w:adjustRightInd w:val="0"/>
        <w:ind w:firstLine="540"/>
        <w:jc w:val="both"/>
        <w:rPr>
          <w:color w:val="000000"/>
          <w:szCs w:val="24"/>
        </w:rPr>
      </w:pPr>
      <w:r w:rsidRPr="00DF3A77">
        <w:rPr>
          <w:color w:val="000000"/>
          <w:szCs w:val="24"/>
        </w:rPr>
        <w:t>Керівництво використовує ряд оцінок, суджень та при</w:t>
      </w:r>
      <w:r w:rsidRPr="00DF3A77">
        <w:rPr>
          <w:color w:val="000000"/>
          <w:szCs w:val="24"/>
        </w:rPr>
        <w:softHyphen/>
        <w:t>пущень по відношенню представлення акти</w:t>
      </w:r>
      <w:r w:rsidRPr="00DF3A77">
        <w:rPr>
          <w:color w:val="000000"/>
          <w:szCs w:val="24"/>
        </w:rPr>
        <w:softHyphen/>
        <w:t>вів і зобов'язань і розкриття умовних активів і зобов'язань при підготовці фінансової звітнос</w:t>
      </w:r>
      <w:r w:rsidRPr="00DF3A77">
        <w:rPr>
          <w:color w:val="000000"/>
          <w:szCs w:val="24"/>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DF3A77">
        <w:rPr>
          <w:color w:val="000000"/>
          <w:szCs w:val="24"/>
        </w:rPr>
        <w:softHyphen/>
        <w:t>хункові оцінки постійно аналізуються на пред</w:t>
      </w:r>
      <w:r w:rsidRPr="00DF3A77">
        <w:rPr>
          <w:color w:val="000000"/>
          <w:szCs w:val="24"/>
        </w:rPr>
        <w:softHyphen/>
        <w:t>мет необхідності їх зміни.</w:t>
      </w:r>
    </w:p>
    <w:p w:rsidR="00DF3A77" w:rsidRPr="00DF3A77" w:rsidRDefault="00DF3A77" w:rsidP="00DF3A77">
      <w:pPr>
        <w:pStyle w:val="NormalLeft063cm"/>
        <w:ind w:left="0" w:right="0" w:firstLine="540"/>
        <w:jc w:val="both"/>
        <w:rPr>
          <w:sz w:val="24"/>
          <w:szCs w:val="24"/>
        </w:rPr>
      </w:pPr>
      <w:r w:rsidRPr="00DF3A77">
        <w:rPr>
          <w:sz w:val="24"/>
          <w:szCs w:val="24"/>
        </w:rPr>
        <w:t>У процесі застосування облікової політики Ломбарду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DF3A77" w:rsidRPr="00DF3A77" w:rsidRDefault="00DF3A77" w:rsidP="00DF3A77">
      <w:pPr>
        <w:autoSpaceDE w:val="0"/>
        <w:ind w:firstLine="540"/>
        <w:jc w:val="both"/>
        <w:rPr>
          <w:b/>
          <w:i/>
          <w:szCs w:val="24"/>
        </w:rPr>
      </w:pPr>
      <w:r w:rsidRPr="00DF3A77">
        <w:rPr>
          <w:szCs w:val="24"/>
        </w:rPr>
        <w:t>Основні джерела невизначеності оцінок.</w:t>
      </w:r>
    </w:p>
    <w:p w:rsidR="00DF3A77" w:rsidRPr="00DF3A77" w:rsidRDefault="00DF3A77" w:rsidP="00DF3A77">
      <w:pPr>
        <w:autoSpaceDE w:val="0"/>
        <w:ind w:firstLine="540"/>
        <w:jc w:val="both"/>
        <w:rPr>
          <w:szCs w:val="24"/>
        </w:rPr>
      </w:pPr>
      <w:r w:rsidRPr="00DF3A77">
        <w:rPr>
          <w:szCs w:val="24"/>
        </w:rPr>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DF3A77" w:rsidRPr="00DF3A77" w:rsidRDefault="00DF3A77" w:rsidP="00DF3A77">
      <w:pPr>
        <w:pStyle w:val="210"/>
        <w:tabs>
          <w:tab w:val="left" w:pos="851"/>
        </w:tabs>
        <w:spacing w:before="0"/>
        <w:ind w:firstLine="540"/>
        <w:rPr>
          <w:rFonts w:ascii="Times New Roman" w:hAnsi="Times New Roman"/>
          <w:szCs w:val="24"/>
        </w:rPr>
      </w:pPr>
      <w:r w:rsidRPr="00DF3A77">
        <w:rPr>
          <w:rFonts w:ascii="Times New Roman" w:hAnsi="Times New Roman"/>
          <w:i/>
          <w:szCs w:val="24"/>
        </w:rPr>
        <w:t xml:space="preserve">Строки корисного використання основних засобів. </w:t>
      </w:r>
      <w:r w:rsidRPr="00DF3A77">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DF3A77" w:rsidRPr="00DF3A77" w:rsidRDefault="00DF3A77" w:rsidP="00DF3A77">
      <w:pPr>
        <w:tabs>
          <w:tab w:val="left" w:pos="851"/>
        </w:tabs>
        <w:autoSpaceDE w:val="0"/>
        <w:ind w:firstLine="540"/>
        <w:jc w:val="both"/>
        <w:rPr>
          <w:i/>
          <w:szCs w:val="24"/>
        </w:rPr>
      </w:pPr>
      <w:r w:rsidRPr="00DF3A77">
        <w:rPr>
          <w:i/>
          <w:szCs w:val="24"/>
        </w:rPr>
        <w:t xml:space="preserve">Відстрочені податкові активи. </w:t>
      </w:r>
      <w:r w:rsidRPr="00DF3A77">
        <w:rPr>
          <w:szCs w:val="24"/>
        </w:rPr>
        <w:t>Діючий Податковий кодекс України та зміни що вносяться до нього суттєво змінюють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DF3A77" w:rsidRPr="00DF3A77" w:rsidRDefault="00DF3A77" w:rsidP="00DF3A77">
      <w:pPr>
        <w:autoSpaceDE w:val="0"/>
        <w:ind w:firstLine="540"/>
        <w:jc w:val="both"/>
        <w:rPr>
          <w:szCs w:val="24"/>
        </w:rPr>
      </w:pPr>
      <w:r w:rsidRPr="00DF3A77">
        <w:rPr>
          <w:szCs w:val="24"/>
        </w:rPr>
        <w:t>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Ломбарду 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i/>
          <w:color w:val="00000A"/>
          <w:lang w:eastAsia="zh-CN"/>
        </w:rPr>
        <w:t>Судження щодо необхідності перерахування фінансової звітності складеної на 31.12.2020 року у відповідності МСБО 29 «Фінансова звітність в умовах гіперінфляції».</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МСБО 29 не встановлює абсолютного рівня, на якому вважається, що виникає гіперінфляція.</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Показником гіперінфляції є характеристики економічного середовища в Україні, які включають таке (але не обмежуються таким):</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а) основна маса населення віддає перевагу збереженню своїх цінностей у формі немонетарних активів або у відносно стабільній іноземній валюті. Суми, утримувані в національній валюті, негайно інвестуються для збереження купівельної спроможності;</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б) основна маса населення розглядає грошові суми не в національній грошовій одиниці, а у відносно стабільній іноземній валюті. Ціни можуть також наводитися в цій валюті;</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в) продаж та придбання на умовах відстрочки платежу здійснюється за цінами, які компенсують очікувану втрату купівельної спроможності протягом періоду відстрочки платежу, навіть якщо цей строк є коротким;</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г) відсоткові ставки, заробітна плата та ціни індексуються згідно індексу цін;</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ґ) кумулятивний рівень інфляції за трирічний період наближається до 100% або перевищує цей рівень.</w:t>
      </w:r>
    </w:p>
    <w:p w:rsidR="00DF3A77" w:rsidRPr="00DF3A77" w:rsidRDefault="00DF3A77" w:rsidP="00DF3A77">
      <w:pPr>
        <w:ind w:firstLine="567"/>
        <w:jc w:val="both"/>
        <w:rPr>
          <w:szCs w:val="24"/>
        </w:rPr>
      </w:pPr>
      <w:r w:rsidRPr="00DF3A77">
        <w:rPr>
          <w:szCs w:val="24"/>
        </w:rPr>
        <w:lastRenderedPageBreak/>
        <w:t>На кінець 20</w:t>
      </w:r>
      <w:r w:rsidRPr="00DF3A77">
        <w:rPr>
          <w:szCs w:val="24"/>
          <w:lang w:val="ru-RU"/>
        </w:rPr>
        <w:t>20</w:t>
      </w:r>
      <w:r w:rsidRPr="00DF3A77">
        <w:rPr>
          <w:szCs w:val="24"/>
        </w:rPr>
        <w:t xml:space="preserve"> року розрахований  кумулятивний рівень інфляції за 201</w:t>
      </w:r>
      <w:r w:rsidRPr="00DF3A77">
        <w:rPr>
          <w:szCs w:val="24"/>
          <w:lang w:val="ru-RU"/>
        </w:rPr>
        <w:t>8</w:t>
      </w:r>
      <w:r w:rsidRPr="00DF3A77">
        <w:rPr>
          <w:szCs w:val="24"/>
        </w:rPr>
        <w:t>-20</w:t>
      </w:r>
      <w:r w:rsidRPr="00DF3A77">
        <w:rPr>
          <w:szCs w:val="24"/>
          <w:lang w:val="ru-RU"/>
        </w:rPr>
        <w:t>20</w:t>
      </w:r>
      <w:r w:rsidRPr="00DF3A77">
        <w:rPr>
          <w:szCs w:val="24"/>
        </w:rPr>
        <w:t xml:space="preserve"> роки не перевищив показник 100% і склав </w:t>
      </w:r>
      <w:r w:rsidR="00CE1063" w:rsidRPr="00CE1063">
        <w:rPr>
          <w:rFonts w:eastAsia="SimSun"/>
          <w:kern w:val="16"/>
          <w:szCs w:val="24"/>
        </w:rPr>
        <w:t xml:space="preserve">20,017%, </w:t>
      </w:r>
      <w:r w:rsidRPr="00CE1063">
        <w:rPr>
          <w:szCs w:val="24"/>
        </w:rPr>
        <w:t>немає</w:t>
      </w:r>
      <w:r w:rsidRPr="00DF3A77">
        <w:rPr>
          <w:szCs w:val="24"/>
        </w:rPr>
        <w:t xml:space="preserve"> перевищення рівня 100% станом на 31.12.20</w:t>
      </w:r>
      <w:r w:rsidRPr="00DF3A77">
        <w:rPr>
          <w:szCs w:val="24"/>
          <w:lang w:val="ru-RU"/>
        </w:rPr>
        <w:t>20</w:t>
      </w:r>
      <w:r w:rsidRPr="00DF3A77">
        <w:rPr>
          <w:szCs w:val="24"/>
        </w:rPr>
        <w:t xml:space="preserve"> року. Аналіз </w:t>
      </w:r>
      <w:proofErr w:type="spellStart"/>
      <w:r w:rsidRPr="00DF3A77">
        <w:rPr>
          <w:szCs w:val="24"/>
        </w:rPr>
        <w:t>макропоказників</w:t>
      </w:r>
      <w:proofErr w:type="spellEnd"/>
      <w:r w:rsidRPr="00DF3A77">
        <w:rPr>
          <w:szCs w:val="24"/>
        </w:rPr>
        <w:t xml:space="preserve"> розвитку економіки України свідчать про зниження факторів кумулятивної інфляції. Тобто, якісні показники підтверджують, що Україна на 31.12.2020 року не є </w:t>
      </w:r>
      <w:proofErr w:type="spellStart"/>
      <w:r w:rsidRPr="00DF3A77">
        <w:rPr>
          <w:szCs w:val="24"/>
        </w:rPr>
        <w:t>гіперінфляційною</w:t>
      </w:r>
      <w:proofErr w:type="spellEnd"/>
      <w:r w:rsidRPr="00DF3A77">
        <w:rPr>
          <w:szCs w:val="24"/>
        </w:rPr>
        <w:t xml:space="preserve"> країною.</w:t>
      </w:r>
    </w:p>
    <w:p w:rsidR="00DF3A77" w:rsidRPr="00DF3A77" w:rsidRDefault="00DF3A77" w:rsidP="00DF3A77">
      <w:pPr>
        <w:ind w:firstLine="567"/>
        <w:jc w:val="both"/>
        <w:rPr>
          <w:szCs w:val="24"/>
        </w:rPr>
      </w:pPr>
      <w:r w:rsidRPr="00DF3A77">
        <w:rPr>
          <w:szCs w:val="24"/>
        </w:rPr>
        <w:t>Проаналізувавши інші критерії, ми вважаємо, що за показниками наведеними у підпунктах в) і г) параграфа 3 МСБО 29 економічний стан в Україні не відповідає ситуації, що характеризується гіперінфляцією. МСБО 29 має бути застосований з самого початку періоду, в якому існування гіперінфляції ідентифіковане. Станом на дату підписання фінансової звітності існування гіперінфляції в Україні не ідентифіковано.</w:t>
      </w:r>
    </w:p>
    <w:p w:rsidR="00DF3A77" w:rsidRPr="00DF3A77" w:rsidRDefault="00DF3A77" w:rsidP="00DF3A77">
      <w:pPr>
        <w:ind w:firstLine="567"/>
        <w:jc w:val="both"/>
        <w:rPr>
          <w:szCs w:val="24"/>
        </w:rPr>
      </w:pPr>
      <w:r w:rsidRPr="00DF3A77">
        <w:rPr>
          <w:szCs w:val="24"/>
        </w:rPr>
        <w:t>Враховуючи вище наведене, нами прийнято рішення не застосовувати МСБО 29 «Фінансова звітність в умовах гіперінфляції».</w:t>
      </w:r>
    </w:p>
    <w:p w:rsidR="00DF3A77" w:rsidRPr="00DF3A77" w:rsidRDefault="00DF3A77" w:rsidP="00DF3A77">
      <w:pPr>
        <w:ind w:firstLine="567"/>
        <w:jc w:val="both"/>
        <w:rPr>
          <w:szCs w:val="24"/>
        </w:rPr>
      </w:pPr>
      <w:r w:rsidRPr="00DF3A77">
        <w:rPr>
          <w:szCs w:val="24"/>
        </w:rPr>
        <w:t xml:space="preserve">Протягом  наступного року  ми будемо контролювати цю ситуацію та аналізувати  як  кількісні фактори  кумулятивної інфляції, так і якісні </w:t>
      </w:r>
      <w:proofErr w:type="spellStart"/>
      <w:r w:rsidRPr="00DF3A77">
        <w:rPr>
          <w:szCs w:val="24"/>
        </w:rPr>
        <w:t>макропоказники</w:t>
      </w:r>
      <w:proofErr w:type="spellEnd"/>
      <w:r w:rsidRPr="00DF3A77">
        <w:rPr>
          <w:szCs w:val="24"/>
        </w:rPr>
        <w:t>, що  позитивно впливають на економічний розвиток, які в свою чергу  є факторами, що впливають на зниження кількісних інфляційних  складових.</w:t>
      </w:r>
    </w:p>
    <w:p w:rsidR="00DF3A77" w:rsidRPr="00DF3A77" w:rsidRDefault="00DF3A77" w:rsidP="00DF3A77">
      <w:pPr>
        <w:autoSpaceDE w:val="0"/>
        <w:ind w:firstLine="540"/>
        <w:jc w:val="both"/>
        <w:rPr>
          <w:szCs w:val="24"/>
        </w:rPr>
      </w:pPr>
    </w:p>
    <w:p w:rsidR="00DF3A77" w:rsidRPr="00DF3A77" w:rsidRDefault="00DF3A77" w:rsidP="00DF3A77">
      <w:pPr>
        <w:autoSpaceDE w:val="0"/>
        <w:autoSpaceDN w:val="0"/>
        <w:adjustRightInd w:val="0"/>
        <w:ind w:firstLine="540"/>
        <w:jc w:val="both"/>
        <w:rPr>
          <w:b/>
          <w:szCs w:val="24"/>
        </w:rPr>
      </w:pPr>
      <w:r w:rsidRPr="00DF3A77">
        <w:rPr>
          <w:b/>
          <w:szCs w:val="24"/>
        </w:rPr>
        <w:t>5. Економічне середовище, в умовах якого Ломбард здійснює свою діяльність</w:t>
      </w:r>
    </w:p>
    <w:p w:rsidR="00DF3A77" w:rsidRPr="00DF3A77" w:rsidRDefault="00DF3A77" w:rsidP="00DF3A77">
      <w:pPr>
        <w:ind w:firstLine="567"/>
        <w:jc w:val="both"/>
        <w:rPr>
          <w:rStyle w:val="14"/>
          <w:rFonts w:eastAsia="Courier New"/>
          <w:color w:val="000000"/>
          <w:szCs w:val="24"/>
          <w:lang w:eastAsia="uk-UA"/>
        </w:rPr>
      </w:pPr>
      <w:r w:rsidRPr="00DF3A77">
        <w:rPr>
          <w:rStyle w:val="14"/>
          <w:rFonts w:eastAsia="Courier New"/>
          <w:color w:val="000000"/>
          <w:szCs w:val="24"/>
          <w:lang w:eastAsia="uk-UA"/>
        </w:rPr>
        <w:t>Товариство функціонує в нестабільному середовищі, що пов’язано з постійно не визначеною, часто змінною економічною та епідеміологічною ситуацією, впровадженням карантинних заходів, продовженням збройного конфлікту на сході України та окупацією Криму. Ситуація ускладняється суттєвими коливаннями валютного курсу національної валюти та світовими курсами дорогоцінних металів. Стабілізація економічної ситуації в Україні значною мірою буде залежати від ефективності фіскальних та інших економічних заходів, що будуть вживатися Урядом України</w:t>
      </w:r>
      <w:r w:rsidR="00CE1063">
        <w:rPr>
          <w:rStyle w:val="14"/>
          <w:rFonts w:eastAsia="Courier New"/>
          <w:color w:val="000000"/>
          <w:szCs w:val="24"/>
          <w:lang w:eastAsia="uk-UA"/>
        </w:rPr>
        <w:t xml:space="preserve">, розвитку ситуації з </w:t>
      </w:r>
      <w:r w:rsidR="00CE1063" w:rsidRPr="00CE1063">
        <w:rPr>
          <w:rStyle w:val="14"/>
          <w:rFonts w:eastAsia="Courier New"/>
          <w:color w:val="000000"/>
          <w:szCs w:val="24"/>
          <w:lang w:eastAsia="uk-UA"/>
        </w:rPr>
        <w:t>COVID-19</w:t>
      </w:r>
      <w:r w:rsidRPr="00DF3A77">
        <w:rPr>
          <w:rStyle w:val="14"/>
          <w:rFonts w:eastAsia="Courier New"/>
          <w:color w:val="000000"/>
          <w:szCs w:val="24"/>
          <w:lang w:eastAsia="uk-UA"/>
        </w:rPr>
        <w:t xml:space="preserve">. </w:t>
      </w:r>
    </w:p>
    <w:p w:rsidR="00DF3A77" w:rsidRPr="00DF3A77" w:rsidRDefault="00DF3A77" w:rsidP="00DF3A77">
      <w:pPr>
        <w:pStyle w:val="a7"/>
        <w:shd w:val="clear" w:color="auto" w:fill="FFFFFF"/>
        <w:spacing w:before="0" w:beforeAutospacing="0" w:after="0" w:afterAutospacing="0"/>
        <w:ind w:firstLine="567"/>
        <w:jc w:val="both"/>
        <w:rPr>
          <w:rStyle w:val="hps"/>
          <w:lang w:val="uk-UA"/>
        </w:rPr>
      </w:pPr>
      <w:r w:rsidRPr="00DF3A77">
        <w:rPr>
          <w:rStyle w:val="hps"/>
          <w:lang w:val="uk-UA"/>
        </w:rPr>
        <w:t xml:space="preserve">Товариство здійснює свою діяльність в умовах оголошеного в Україні карантину, в зв’язку з визнаною ВООЗ 11 березня 2020року пандемією </w:t>
      </w:r>
      <w:proofErr w:type="spellStart"/>
      <w:r w:rsidRPr="00DF3A77">
        <w:rPr>
          <w:rStyle w:val="hps"/>
          <w:lang w:val="uk-UA"/>
        </w:rPr>
        <w:t>коронавірусної</w:t>
      </w:r>
      <w:proofErr w:type="spellEnd"/>
      <w:r w:rsidRPr="00DF3A77">
        <w:rPr>
          <w:rStyle w:val="hps"/>
          <w:lang w:val="uk-UA"/>
        </w:rPr>
        <w:t xml:space="preserve"> хвороби  (COVID-19). Карантин передбачає ряд обмежувальних заходів, які можуть вплинути на ситуацію в економіці України і на діяльність Товариства. В результаті  обмежувальних заходів та нестабільної ситуації в Україні діяльність Товариства супроводжується ризиками. </w:t>
      </w:r>
    </w:p>
    <w:p w:rsidR="00DF3A77" w:rsidRDefault="00DF3A77" w:rsidP="00DF3A77">
      <w:pPr>
        <w:ind w:firstLine="567"/>
        <w:jc w:val="both"/>
        <w:rPr>
          <w:rStyle w:val="14"/>
          <w:rFonts w:eastAsia="Courier New"/>
          <w:color w:val="000000"/>
          <w:szCs w:val="24"/>
          <w:lang w:eastAsia="uk-UA"/>
        </w:rPr>
      </w:pPr>
      <w:r w:rsidRPr="00DF3A77">
        <w:rPr>
          <w:rStyle w:val="14"/>
          <w:rFonts w:eastAsia="Courier New"/>
          <w:color w:val="000000"/>
          <w:szCs w:val="24"/>
          <w:lang w:eastAsia="uk-UA"/>
        </w:rPr>
        <w:t>Девальвація національної валюти призвела до тиску на індекс споживчих цін. Офіційний рівень інфляції в Україні за 2020 рік склав 5%.</w:t>
      </w:r>
    </w:p>
    <w:p w:rsidR="00CE1063" w:rsidRPr="00CE1063" w:rsidRDefault="00CE1063" w:rsidP="00CE1063">
      <w:pPr>
        <w:ind w:firstLine="567"/>
        <w:jc w:val="both"/>
        <w:rPr>
          <w:rStyle w:val="14"/>
          <w:rFonts w:eastAsia="Courier New"/>
          <w:color w:val="000000"/>
          <w:szCs w:val="24"/>
          <w:lang w:eastAsia="uk-UA"/>
        </w:rPr>
      </w:pPr>
      <w:r w:rsidRPr="00CE1063">
        <w:rPr>
          <w:rStyle w:val="14"/>
          <w:rFonts w:eastAsia="Courier New"/>
          <w:color w:val="000000"/>
          <w:szCs w:val="24"/>
          <w:lang w:eastAsia="uk-UA"/>
        </w:rPr>
        <w:t>У контексті політичних змін ступінь невизначеності, у тому числі щодо майбутнього напрямку реформ, у 2020 році залишається вкрай високим. Значна кількість компаній в країні вимушені припиняти або обмежувати свою діяльність на невизначений на дату підготовки цієї фінансової звітності час. Заходи, що вживаються для стримування поширення вірусу, включаючи обмеження руху транспорту, карантин, соціальні дистанції, призупинення діяльності об’єктів інфраструктури, тощо уповільнюють економічну діяльність компаній, у тому числі і Товариства.</w:t>
      </w:r>
    </w:p>
    <w:p w:rsidR="00CE1063" w:rsidRPr="00DF3A77" w:rsidRDefault="00CE1063" w:rsidP="00CE1063">
      <w:pPr>
        <w:ind w:firstLine="567"/>
        <w:jc w:val="both"/>
        <w:rPr>
          <w:rStyle w:val="14"/>
          <w:rFonts w:eastAsia="Courier New"/>
          <w:color w:val="000000"/>
          <w:szCs w:val="24"/>
          <w:lang w:eastAsia="uk-UA"/>
        </w:rPr>
      </w:pPr>
      <w:r w:rsidRPr="00CE1063">
        <w:rPr>
          <w:rStyle w:val="14"/>
          <w:rFonts w:eastAsia="Courier New"/>
          <w:color w:val="000000"/>
          <w:szCs w:val="24"/>
          <w:lang w:eastAsia="uk-UA"/>
        </w:rPr>
        <w:t xml:space="preserve">Внаслідок невизначеності і тривалості подій, пов’язаних зі спалахом </w:t>
      </w:r>
      <w:proofErr w:type="spellStart"/>
      <w:r w:rsidRPr="00CE1063">
        <w:rPr>
          <w:rStyle w:val="14"/>
          <w:rFonts w:eastAsia="Courier New"/>
          <w:color w:val="000000"/>
          <w:szCs w:val="24"/>
          <w:lang w:eastAsia="uk-UA"/>
        </w:rPr>
        <w:t>коронавірусу</w:t>
      </w:r>
      <w:proofErr w:type="spellEnd"/>
      <w:r w:rsidRPr="00CE1063">
        <w:rPr>
          <w:rStyle w:val="14"/>
          <w:rFonts w:eastAsia="Courier New"/>
          <w:color w:val="000000"/>
          <w:szCs w:val="24"/>
          <w:lang w:eastAsia="uk-UA"/>
        </w:rPr>
        <w:t xml:space="preserve"> COVID-19,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 в 2020 році</w:t>
      </w:r>
      <w:r w:rsidR="007F0E1C">
        <w:rPr>
          <w:rStyle w:val="14"/>
          <w:rFonts w:eastAsia="Courier New"/>
          <w:color w:val="000000"/>
          <w:szCs w:val="24"/>
          <w:lang w:eastAsia="uk-UA"/>
        </w:rPr>
        <w:t>.</w:t>
      </w:r>
    </w:p>
    <w:p w:rsidR="007F0E1C" w:rsidRPr="00DF3A77" w:rsidRDefault="007F0E1C" w:rsidP="007F0E1C">
      <w:pPr>
        <w:pStyle w:val="a7"/>
        <w:shd w:val="clear" w:color="auto" w:fill="FFFFFF"/>
        <w:spacing w:before="0" w:beforeAutospacing="0" w:after="0" w:afterAutospacing="0"/>
        <w:ind w:firstLine="567"/>
        <w:jc w:val="both"/>
        <w:rPr>
          <w:rStyle w:val="hps"/>
          <w:lang w:val="uk-UA"/>
        </w:rPr>
      </w:pPr>
      <w:r w:rsidRPr="00DF3A77">
        <w:rPr>
          <w:rStyle w:val="hps"/>
          <w:lang w:val="uk-UA"/>
        </w:rPr>
        <w:t>У зв’язку з цим неможливо достовірно оцінити ефект впливу поточної економічної ситуації на фінансовий стан Компанії. 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
    <w:p w:rsidR="007F0E1C" w:rsidRPr="00DF3A77" w:rsidRDefault="007F0E1C" w:rsidP="007F0E1C">
      <w:pPr>
        <w:ind w:firstLine="567"/>
        <w:jc w:val="both"/>
        <w:rPr>
          <w:rStyle w:val="14"/>
          <w:rFonts w:eastAsia="Courier New"/>
          <w:color w:val="000000"/>
          <w:szCs w:val="24"/>
          <w:lang w:eastAsia="uk-UA"/>
        </w:rPr>
      </w:pPr>
      <w:r w:rsidRPr="00DF3A77">
        <w:rPr>
          <w:rStyle w:val="14"/>
          <w:rFonts w:eastAsia="Courier New"/>
          <w:color w:val="000000"/>
          <w:szCs w:val="24"/>
          <w:lang w:eastAsia="uk-UA"/>
        </w:rPr>
        <w:t xml:space="preserve">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і фінансове становище. </w:t>
      </w:r>
    </w:p>
    <w:p w:rsidR="00DF3A77" w:rsidRDefault="00DF3A77" w:rsidP="00DF3A77">
      <w:pPr>
        <w:ind w:firstLine="567"/>
        <w:jc w:val="both"/>
        <w:rPr>
          <w:b/>
          <w:szCs w:val="24"/>
        </w:rPr>
      </w:pPr>
    </w:p>
    <w:p w:rsidR="007602DD" w:rsidRPr="00DF3A77" w:rsidRDefault="007602DD" w:rsidP="00DF3A77">
      <w:pPr>
        <w:ind w:firstLine="567"/>
        <w:jc w:val="both"/>
        <w:rPr>
          <w:b/>
          <w:szCs w:val="24"/>
        </w:rPr>
      </w:pPr>
    </w:p>
    <w:p w:rsidR="00DF3A77" w:rsidRPr="00DF3A77" w:rsidRDefault="00DF3A77" w:rsidP="00DF3A77">
      <w:pPr>
        <w:ind w:firstLine="567"/>
        <w:jc w:val="both"/>
        <w:rPr>
          <w:b/>
          <w:szCs w:val="24"/>
        </w:rPr>
      </w:pPr>
      <w:r w:rsidRPr="00DF3A77">
        <w:rPr>
          <w:b/>
          <w:szCs w:val="24"/>
        </w:rPr>
        <w:t>6. Окремі елементи фінансової звітності та розкриття  за 2020 рік.</w:t>
      </w:r>
    </w:p>
    <w:p w:rsidR="00DF3A77" w:rsidRPr="00DF3A77" w:rsidRDefault="00DF3A77" w:rsidP="00DF3A77">
      <w:pPr>
        <w:ind w:firstLine="567"/>
        <w:rPr>
          <w:szCs w:val="24"/>
        </w:rPr>
      </w:pPr>
      <w:r w:rsidRPr="00DF3A77">
        <w:rPr>
          <w:b/>
          <w:szCs w:val="24"/>
        </w:rPr>
        <w:t>6.1. Фінансовий стан товариства</w:t>
      </w:r>
    </w:p>
    <w:p w:rsidR="00DF3A77" w:rsidRPr="00DF3A77" w:rsidRDefault="00DF3A77" w:rsidP="00DF3A77">
      <w:pPr>
        <w:rPr>
          <w:szCs w:val="24"/>
        </w:rPr>
      </w:pPr>
      <w:r w:rsidRPr="00DF3A77">
        <w:rPr>
          <w:szCs w:val="24"/>
        </w:rPr>
        <w:t>згідно фінансової звітності за 2020 рік за МСФЗ:</w:t>
      </w:r>
    </w:p>
    <w:p w:rsidR="00DF3A77" w:rsidRPr="00DF3A77" w:rsidRDefault="00DF3A77" w:rsidP="00DF3A77">
      <w:pPr>
        <w:jc w:val="right"/>
        <w:rPr>
          <w:szCs w:val="24"/>
        </w:rPr>
      </w:pPr>
      <w:r w:rsidRPr="00DF3A77">
        <w:rPr>
          <w:szCs w:val="24"/>
        </w:rPr>
        <w:lastRenderedPageBreak/>
        <w:t>Тис</w:t>
      </w:r>
      <w:r>
        <w:rPr>
          <w:szCs w:val="24"/>
        </w:rPr>
        <w:t>.грн..</w:t>
      </w:r>
    </w:p>
    <w:tbl>
      <w:tblPr>
        <w:tblW w:w="9533" w:type="dxa"/>
        <w:tblInd w:w="35" w:type="dxa"/>
        <w:tblLayout w:type="fixed"/>
        <w:tblLook w:val="0000"/>
      </w:tblPr>
      <w:tblGrid>
        <w:gridCol w:w="5023"/>
        <w:gridCol w:w="1429"/>
        <w:gridCol w:w="1541"/>
        <w:gridCol w:w="1540"/>
      </w:tblGrid>
      <w:tr w:rsidR="00DF3A77" w:rsidRPr="00DF3A77" w:rsidTr="00DF3A77">
        <w:tc>
          <w:tcPr>
            <w:tcW w:w="5023"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Статті балансу</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DF3A77">
            <w:pPr>
              <w:autoSpaceDE w:val="0"/>
              <w:snapToGrid w:val="0"/>
              <w:ind w:right="28"/>
              <w:jc w:val="both"/>
              <w:rPr>
                <w:b/>
                <w:szCs w:val="22"/>
              </w:rPr>
            </w:pPr>
            <w:r w:rsidRPr="00DF3A77">
              <w:rPr>
                <w:b/>
                <w:sz w:val="22"/>
                <w:szCs w:val="22"/>
              </w:rPr>
              <w:t>На 31.12.18</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both"/>
              <w:rPr>
                <w:b/>
                <w:szCs w:val="22"/>
              </w:rPr>
            </w:pPr>
            <w:r w:rsidRPr="00DF3A77">
              <w:rPr>
                <w:b/>
                <w:sz w:val="22"/>
                <w:szCs w:val="22"/>
              </w:rPr>
              <w:t xml:space="preserve">На 31.12.19 </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left="-25" w:right="-126"/>
              <w:jc w:val="both"/>
              <w:rPr>
                <w:b/>
                <w:szCs w:val="22"/>
              </w:rPr>
            </w:pPr>
            <w:r w:rsidRPr="00DF3A77">
              <w:rPr>
                <w:b/>
                <w:sz w:val="22"/>
                <w:szCs w:val="22"/>
              </w:rPr>
              <w:t>На 31.12.20</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1</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2</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3</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4</w:t>
            </w:r>
          </w:p>
        </w:tc>
      </w:tr>
      <w:tr w:rsidR="00DF3A77" w:rsidRPr="00DF3A77" w:rsidTr="00DF3A77">
        <w:trPr>
          <w:trHeight w:val="64"/>
        </w:trPr>
        <w:tc>
          <w:tcPr>
            <w:tcW w:w="5023"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Актив</w:t>
            </w:r>
          </w:p>
        </w:tc>
        <w:tc>
          <w:tcPr>
            <w:tcW w:w="1429"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highlight w:val="yellow"/>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jc w:val="center"/>
              <w:rPr>
                <w:bCs/>
                <w:szCs w:val="24"/>
              </w:rPr>
            </w:pPr>
            <w:r w:rsidRPr="00DF3A77">
              <w:rPr>
                <w:bCs/>
                <w:szCs w:val="24"/>
              </w:rPr>
              <w:t>I. Необоротні активи</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118</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85</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75</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II. Оборотні активи</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1659</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1719</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1883</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III. Необоротні активи, утримувані для продажу, та групи вибуття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D9D9D9"/>
            <w:vAlign w:val="center"/>
          </w:tcPr>
          <w:p w:rsidR="00DF3A77" w:rsidRPr="00DF3A77" w:rsidRDefault="00DF3A77" w:rsidP="00234E51">
            <w:pPr>
              <w:rPr>
                <w:b/>
                <w:bCs/>
                <w:szCs w:val="24"/>
              </w:rPr>
            </w:pPr>
            <w:r w:rsidRPr="00DF3A77">
              <w:rPr>
                <w:b/>
                <w:bCs/>
                <w:szCs w:val="24"/>
              </w:rPr>
              <w:t>Баланс</w:t>
            </w:r>
          </w:p>
        </w:tc>
        <w:tc>
          <w:tcPr>
            <w:tcW w:w="1429"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1777</w:t>
            </w:r>
          </w:p>
        </w:tc>
        <w:tc>
          <w:tcPr>
            <w:tcW w:w="1541"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1804</w:t>
            </w:r>
          </w:p>
        </w:tc>
        <w:tc>
          <w:tcPr>
            <w:tcW w:w="1540"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1958</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 Власний капітал</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1766</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1797</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1929</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II. Довгострокові зобов'язання і забезпечення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ind w:firstLine="107"/>
              <w:rPr>
                <w:szCs w:val="24"/>
              </w:rPr>
            </w:pPr>
            <w:r w:rsidRPr="00DF3A77">
              <w:rPr>
                <w:szCs w:val="24"/>
              </w:rPr>
              <w:t>IІІ. Поточні зобов'язання і забезпечення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ind w:firstLine="400"/>
              <w:rPr>
                <w:szCs w:val="24"/>
              </w:rPr>
            </w:pPr>
            <w:r w:rsidRPr="00DF3A77">
              <w:rPr>
                <w:szCs w:val="24"/>
              </w:rPr>
              <w:t>Усього за розділом IІІ</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11</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7</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29</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ІV. Зобов'язання, пов'язані з не оборот. активами,</w:t>
            </w:r>
          </w:p>
          <w:p w:rsidR="00DF3A77" w:rsidRPr="00DF3A77" w:rsidRDefault="00DF3A77" w:rsidP="00234E51">
            <w:pPr>
              <w:snapToGrid w:val="0"/>
              <w:rPr>
                <w:szCs w:val="24"/>
              </w:rPr>
            </w:pPr>
            <w:proofErr w:type="spellStart"/>
            <w:r w:rsidRPr="00DF3A77">
              <w:rPr>
                <w:szCs w:val="24"/>
              </w:rPr>
              <w:t>утрим</w:t>
            </w:r>
            <w:proofErr w:type="spellEnd"/>
            <w:r w:rsidRPr="00DF3A77">
              <w:rPr>
                <w:szCs w:val="24"/>
              </w:rPr>
              <w:t>. для продажу, та групами вибуття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D9D9D9"/>
            <w:vAlign w:val="center"/>
          </w:tcPr>
          <w:p w:rsidR="00DF3A77" w:rsidRPr="00DF3A77" w:rsidRDefault="00DF3A77" w:rsidP="00234E51">
            <w:pPr>
              <w:snapToGrid w:val="0"/>
              <w:ind w:firstLine="400"/>
              <w:rPr>
                <w:b/>
                <w:szCs w:val="24"/>
              </w:rPr>
            </w:pPr>
            <w:r w:rsidRPr="00DF3A77">
              <w:rPr>
                <w:b/>
                <w:szCs w:val="24"/>
              </w:rPr>
              <w:t>Баланс</w:t>
            </w:r>
          </w:p>
        </w:tc>
        <w:tc>
          <w:tcPr>
            <w:tcW w:w="1429"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1777</w:t>
            </w:r>
          </w:p>
        </w:tc>
        <w:tc>
          <w:tcPr>
            <w:tcW w:w="1541"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1804</w:t>
            </w:r>
          </w:p>
        </w:tc>
        <w:tc>
          <w:tcPr>
            <w:tcW w:w="1540" w:type="dxa"/>
            <w:tcBorders>
              <w:top w:val="single" w:sz="4" w:space="0" w:color="000000"/>
              <w:left w:val="single" w:sz="4" w:space="0" w:color="000000"/>
              <w:bottom w:val="single" w:sz="4" w:space="0" w:color="000000"/>
            </w:tcBorders>
            <w:shd w:val="clear" w:color="auto" w:fill="D9D9D9"/>
          </w:tcPr>
          <w:p w:rsidR="00DF3A77" w:rsidRPr="00DF3A77" w:rsidRDefault="00DF3A77" w:rsidP="00234E51">
            <w:pPr>
              <w:autoSpaceDE w:val="0"/>
              <w:snapToGrid w:val="0"/>
              <w:ind w:right="28"/>
              <w:jc w:val="center"/>
              <w:rPr>
                <w:szCs w:val="24"/>
              </w:rPr>
            </w:pPr>
            <w:r w:rsidRPr="00DF3A77">
              <w:rPr>
                <w:szCs w:val="24"/>
              </w:rPr>
              <w:t>1958</w:t>
            </w:r>
          </w:p>
        </w:tc>
      </w:tr>
    </w:tbl>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p>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r w:rsidRPr="00DF3A77">
        <w:rPr>
          <w:rFonts w:ascii="Times New Roman" w:hAnsi="Times New Roman"/>
          <w:sz w:val="24"/>
          <w:szCs w:val="24"/>
        </w:rPr>
        <w:t>6.2. Доход  (виручка від реалізації) ( тис. грн</w:t>
      </w:r>
      <w:r w:rsidRPr="00DF3A77">
        <w:rPr>
          <w:rFonts w:ascii="Times New Roman" w:hAnsi="Times New Roman"/>
          <w:b w:val="0"/>
          <w:sz w:val="24"/>
          <w:szCs w:val="24"/>
        </w:rPr>
        <w:t>.)</w:t>
      </w:r>
    </w:p>
    <w:p w:rsidR="00DF3A77" w:rsidRPr="00DF3A77" w:rsidRDefault="00DF3A77" w:rsidP="00DF3A77">
      <w:pPr>
        <w:ind w:firstLine="567"/>
        <w:jc w:val="both"/>
        <w:rPr>
          <w:szCs w:val="24"/>
        </w:rPr>
      </w:pPr>
      <w:r w:rsidRPr="00DF3A77">
        <w:rPr>
          <w:szCs w:val="24"/>
        </w:rPr>
        <w:t>Виручка від реалізації була представлена наступним чином:</w:t>
      </w:r>
    </w:p>
    <w:p w:rsidR="00DF3A77" w:rsidRPr="00DF3A77" w:rsidRDefault="00DF3A77" w:rsidP="00DF3A77">
      <w:pPr>
        <w:ind w:firstLine="567"/>
        <w:jc w:val="both"/>
        <w:rPr>
          <w:szCs w:val="24"/>
        </w:rPr>
      </w:pPr>
    </w:p>
    <w:tbl>
      <w:tblPr>
        <w:tblW w:w="0" w:type="auto"/>
        <w:tblInd w:w="108" w:type="dxa"/>
        <w:tblLayout w:type="fixed"/>
        <w:tblLook w:val="0000"/>
      </w:tblPr>
      <w:tblGrid>
        <w:gridCol w:w="6521"/>
        <w:gridCol w:w="1430"/>
        <w:gridCol w:w="1430"/>
      </w:tblGrid>
      <w:tr w:rsidR="00DF3A77" w:rsidRPr="00DF3A77" w:rsidTr="00234E51">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DF3A77" w:rsidRPr="00DF3A77" w:rsidRDefault="00DF3A77" w:rsidP="00234E51">
            <w:pPr>
              <w:snapToGrid w:val="0"/>
              <w:jc w:val="both"/>
              <w:rPr>
                <w:b/>
                <w:color w:val="000000"/>
                <w:szCs w:val="24"/>
              </w:rPr>
            </w:pPr>
            <w:r w:rsidRPr="00DF3A77">
              <w:rPr>
                <w:b/>
                <w:color w:val="000000"/>
                <w:szCs w:val="24"/>
              </w:rPr>
              <w:t>Стаття</w:t>
            </w:r>
          </w:p>
        </w:tc>
        <w:tc>
          <w:tcPr>
            <w:tcW w:w="1430" w:type="dxa"/>
            <w:tcBorders>
              <w:top w:val="single" w:sz="4" w:space="0" w:color="000000"/>
              <w:left w:val="single" w:sz="4" w:space="0" w:color="000000"/>
              <w:bottom w:val="single" w:sz="4" w:space="0" w:color="000000"/>
              <w:right w:val="single" w:sz="4" w:space="0" w:color="000000"/>
            </w:tcBorders>
          </w:tcPr>
          <w:p w:rsidR="00DF3A77" w:rsidRPr="00DF3A77" w:rsidRDefault="00DF3A77" w:rsidP="00234E51">
            <w:pPr>
              <w:snapToGrid w:val="0"/>
              <w:jc w:val="both"/>
              <w:rPr>
                <w:b/>
                <w:bCs/>
                <w:color w:val="000000"/>
                <w:szCs w:val="24"/>
              </w:rPr>
            </w:pPr>
            <w:r w:rsidRPr="00DF3A77">
              <w:rPr>
                <w:b/>
                <w:bCs/>
                <w:color w:val="000000"/>
                <w:szCs w:val="24"/>
              </w:rPr>
              <w:t>2020 рік</w:t>
            </w:r>
          </w:p>
        </w:tc>
        <w:tc>
          <w:tcPr>
            <w:tcW w:w="1430" w:type="dxa"/>
            <w:tcBorders>
              <w:top w:val="single" w:sz="4" w:space="0" w:color="000000"/>
              <w:left w:val="single" w:sz="4" w:space="0" w:color="000000"/>
              <w:bottom w:val="single" w:sz="4" w:space="0" w:color="000000"/>
            </w:tcBorders>
          </w:tcPr>
          <w:p w:rsidR="00DF3A77" w:rsidRPr="00DF3A77" w:rsidRDefault="00DF3A77" w:rsidP="00234E51">
            <w:pPr>
              <w:snapToGrid w:val="0"/>
              <w:jc w:val="both"/>
              <w:rPr>
                <w:b/>
                <w:bCs/>
                <w:color w:val="000000"/>
                <w:szCs w:val="24"/>
              </w:rPr>
            </w:pPr>
            <w:r w:rsidRPr="00DF3A77">
              <w:rPr>
                <w:b/>
                <w:bCs/>
                <w:color w:val="000000"/>
                <w:szCs w:val="24"/>
              </w:rPr>
              <w:t>2019 рік</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ind w:firstLine="37"/>
              <w:jc w:val="both"/>
              <w:rPr>
                <w:color w:val="000000"/>
                <w:szCs w:val="24"/>
              </w:rPr>
            </w:pPr>
            <w:r w:rsidRPr="00DF3A77">
              <w:rPr>
                <w:color w:val="000000"/>
                <w:szCs w:val="24"/>
              </w:rPr>
              <w:t>Доход (Виручка) від реалізації послуг</w:t>
            </w:r>
          </w:p>
        </w:tc>
        <w:tc>
          <w:tcPr>
            <w:tcW w:w="1430" w:type="dxa"/>
            <w:tcBorders>
              <w:left w:val="single" w:sz="4" w:space="0" w:color="000000"/>
              <w:bottom w:val="single" w:sz="4" w:space="0" w:color="000000"/>
              <w:right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2666</w:t>
            </w:r>
          </w:p>
        </w:tc>
        <w:tc>
          <w:tcPr>
            <w:tcW w:w="1430" w:type="dxa"/>
            <w:tcBorders>
              <w:left w:val="single" w:sz="4" w:space="0" w:color="000000"/>
              <w:bottom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2463</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ind w:firstLine="37"/>
              <w:jc w:val="both"/>
              <w:rPr>
                <w:color w:val="000000"/>
                <w:szCs w:val="24"/>
              </w:rPr>
            </w:pPr>
            <w:r w:rsidRPr="00DF3A77">
              <w:rPr>
                <w:color w:val="000000"/>
                <w:szCs w:val="24"/>
              </w:rPr>
              <w:t>Інші операційні доходи</w:t>
            </w:r>
          </w:p>
        </w:tc>
        <w:tc>
          <w:tcPr>
            <w:tcW w:w="1430" w:type="dxa"/>
            <w:tcBorders>
              <w:left w:val="single" w:sz="4" w:space="0" w:color="000000"/>
              <w:bottom w:val="single" w:sz="4" w:space="0" w:color="000000"/>
              <w:right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w:t>
            </w:r>
          </w:p>
        </w:tc>
        <w:tc>
          <w:tcPr>
            <w:tcW w:w="1430" w:type="dxa"/>
            <w:tcBorders>
              <w:left w:val="single" w:sz="4" w:space="0" w:color="000000"/>
              <w:bottom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bCs/>
                <w:color w:val="000000"/>
                <w:szCs w:val="24"/>
              </w:rPr>
            </w:pPr>
            <w:r w:rsidRPr="00DF3A77">
              <w:rPr>
                <w:bCs/>
                <w:color w:val="000000"/>
                <w:szCs w:val="24"/>
              </w:rPr>
              <w:t>Всього</w:t>
            </w:r>
          </w:p>
        </w:tc>
        <w:tc>
          <w:tcPr>
            <w:tcW w:w="1430" w:type="dxa"/>
            <w:tcBorders>
              <w:left w:val="single" w:sz="4" w:space="0" w:color="000000"/>
              <w:bottom w:val="single" w:sz="4" w:space="0" w:color="000000"/>
              <w:right w:val="single" w:sz="4" w:space="0" w:color="000000"/>
            </w:tcBorders>
            <w:vAlign w:val="bottom"/>
          </w:tcPr>
          <w:p w:rsidR="00DF3A77" w:rsidRPr="00DF3A77" w:rsidRDefault="00DF3A77" w:rsidP="00234E51">
            <w:pPr>
              <w:snapToGrid w:val="0"/>
              <w:jc w:val="center"/>
              <w:rPr>
                <w:b/>
                <w:bCs/>
                <w:color w:val="000000"/>
                <w:szCs w:val="24"/>
              </w:rPr>
            </w:pPr>
            <w:r w:rsidRPr="00DF3A77">
              <w:rPr>
                <w:b/>
                <w:bCs/>
                <w:color w:val="000000"/>
                <w:szCs w:val="24"/>
              </w:rPr>
              <w:t>2666</w:t>
            </w:r>
          </w:p>
        </w:tc>
        <w:tc>
          <w:tcPr>
            <w:tcW w:w="1430" w:type="dxa"/>
            <w:tcBorders>
              <w:left w:val="single" w:sz="4" w:space="0" w:color="000000"/>
              <w:bottom w:val="single" w:sz="4" w:space="0" w:color="000000"/>
            </w:tcBorders>
            <w:vAlign w:val="bottom"/>
          </w:tcPr>
          <w:p w:rsidR="00DF3A77" w:rsidRPr="00DF3A77" w:rsidRDefault="00DF3A77" w:rsidP="00234E51">
            <w:pPr>
              <w:snapToGrid w:val="0"/>
              <w:jc w:val="center"/>
              <w:rPr>
                <w:b/>
                <w:bCs/>
                <w:color w:val="000000"/>
                <w:szCs w:val="24"/>
              </w:rPr>
            </w:pPr>
            <w:r w:rsidRPr="00DF3A77">
              <w:rPr>
                <w:b/>
                <w:bCs/>
                <w:color w:val="000000"/>
                <w:szCs w:val="24"/>
              </w:rPr>
              <w:t>2463</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right="28" w:firstLine="540"/>
        <w:jc w:val="both"/>
        <w:rPr>
          <w:szCs w:val="24"/>
        </w:rPr>
      </w:pPr>
      <w:r w:rsidRPr="00DF3A77">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DF3A77" w:rsidRPr="00DF3A77" w:rsidRDefault="00DF3A77" w:rsidP="00DF3A77">
      <w:pPr>
        <w:tabs>
          <w:tab w:val="left" w:pos="0"/>
        </w:tabs>
        <w:ind w:right="28" w:firstLine="540"/>
        <w:jc w:val="both"/>
        <w:rPr>
          <w:b/>
          <w:szCs w:val="24"/>
        </w:rPr>
      </w:pPr>
      <w:r w:rsidRPr="00DF3A77">
        <w:rPr>
          <w:b/>
          <w:szCs w:val="24"/>
        </w:rPr>
        <w:t xml:space="preserve">6.3. Витрати </w:t>
      </w:r>
    </w:p>
    <w:p w:rsidR="00DF3A77" w:rsidRPr="00DF3A77" w:rsidRDefault="00DF3A77" w:rsidP="00DF3A77">
      <w:pPr>
        <w:tabs>
          <w:tab w:val="left" w:pos="0"/>
        </w:tabs>
        <w:ind w:firstLine="540"/>
        <w:jc w:val="both"/>
        <w:rPr>
          <w:szCs w:val="24"/>
        </w:rPr>
      </w:pPr>
      <w:r w:rsidRPr="00DF3A77">
        <w:rPr>
          <w:szCs w:val="24"/>
        </w:rPr>
        <w:t>Операційні витрати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0" w:type="auto"/>
        <w:tblInd w:w="108" w:type="dxa"/>
        <w:tblLayout w:type="fixed"/>
        <w:tblLook w:val="0000"/>
      </w:tblPr>
      <w:tblGrid>
        <w:gridCol w:w="6521"/>
        <w:gridCol w:w="1795"/>
        <w:gridCol w:w="1395"/>
      </w:tblGrid>
      <w:tr w:rsidR="00DF3A77" w:rsidRPr="00DF3A77" w:rsidTr="00234E51">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color w:val="000000"/>
                <w:szCs w:val="24"/>
              </w:rPr>
              <w:t>Стаття</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DF3A77" w:rsidRPr="00DF3A77" w:rsidRDefault="00DF3A77" w:rsidP="00234E51">
            <w:pPr>
              <w:snapToGrid w:val="0"/>
              <w:jc w:val="both"/>
              <w:rPr>
                <w:bCs/>
                <w:color w:val="000000"/>
                <w:szCs w:val="24"/>
              </w:rPr>
            </w:pPr>
            <w:r w:rsidRPr="00DF3A77">
              <w:rPr>
                <w:b/>
                <w:bCs/>
                <w:color w:val="000000"/>
                <w:szCs w:val="24"/>
              </w:rPr>
              <w:t>2020 рік</w:t>
            </w:r>
          </w:p>
        </w:tc>
        <w:tc>
          <w:tcPr>
            <w:tcW w:w="1395" w:type="dxa"/>
            <w:tcBorders>
              <w:top w:val="single" w:sz="4" w:space="0" w:color="000000"/>
              <w:left w:val="single" w:sz="4" w:space="0" w:color="000000"/>
              <w:bottom w:val="single" w:sz="4" w:space="0" w:color="000000"/>
              <w:right w:val="single" w:sz="4" w:space="0" w:color="000000"/>
            </w:tcBorders>
          </w:tcPr>
          <w:p w:rsidR="00DF3A77" w:rsidRPr="00DF3A77" w:rsidRDefault="00DF3A77" w:rsidP="00234E51">
            <w:pPr>
              <w:snapToGrid w:val="0"/>
              <w:jc w:val="both"/>
              <w:rPr>
                <w:b/>
                <w:bCs/>
                <w:color w:val="000000"/>
                <w:szCs w:val="24"/>
              </w:rPr>
            </w:pPr>
            <w:r w:rsidRPr="00DF3A77">
              <w:rPr>
                <w:b/>
                <w:bCs/>
                <w:color w:val="000000"/>
                <w:szCs w:val="24"/>
              </w:rPr>
              <w:t>2019рік</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szCs w:val="24"/>
              </w:rPr>
              <w:t>Матеріальні затрати</w:t>
            </w:r>
          </w:p>
        </w:tc>
        <w:tc>
          <w:tcPr>
            <w:tcW w:w="1795" w:type="dxa"/>
            <w:tcBorders>
              <w:left w:val="single" w:sz="4" w:space="0" w:color="000000"/>
              <w:bottom w:val="single" w:sz="4" w:space="0" w:color="000000"/>
              <w:right w:val="single" w:sz="4" w:space="0" w:color="000000"/>
            </w:tcBorders>
            <w:shd w:val="clear" w:color="auto" w:fill="auto"/>
            <w:vAlign w:val="bottom"/>
          </w:tcPr>
          <w:p w:rsidR="00DF3A77" w:rsidRPr="00DF3A77" w:rsidRDefault="00DF3A77" w:rsidP="00234E51">
            <w:pPr>
              <w:jc w:val="center"/>
              <w:rPr>
                <w:color w:val="000000"/>
                <w:szCs w:val="24"/>
              </w:rPr>
            </w:pPr>
            <w:r w:rsidRPr="00DF3A77">
              <w:rPr>
                <w:color w:val="000000"/>
                <w:szCs w:val="24"/>
              </w:rPr>
              <w:t>169</w:t>
            </w:r>
          </w:p>
        </w:tc>
        <w:tc>
          <w:tcPr>
            <w:tcW w:w="1395" w:type="dxa"/>
            <w:tcBorders>
              <w:left w:val="single" w:sz="4" w:space="0" w:color="000000"/>
              <w:bottom w:val="single" w:sz="4" w:space="0" w:color="000000"/>
              <w:right w:val="single" w:sz="4" w:space="0" w:color="000000"/>
            </w:tcBorders>
            <w:vAlign w:val="bottom"/>
          </w:tcPr>
          <w:p w:rsidR="00DF3A77" w:rsidRPr="00DF3A77" w:rsidRDefault="00DF3A77" w:rsidP="00234E51">
            <w:pPr>
              <w:jc w:val="center"/>
              <w:rPr>
                <w:color w:val="000000"/>
                <w:szCs w:val="24"/>
              </w:rPr>
            </w:pPr>
            <w:r w:rsidRPr="00DF3A77">
              <w:rPr>
                <w:color w:val="000000"/>
                <w:szCs w:val="24"/>
              </w:rPr>
              <w:t>323</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szCs w:val="24"/>
              </w:rPr>
              <w:t>Амортизація</w:t>
            </w:r>
          </w:p>
        </w:tc>
        <w:tc>
          <w:tcPr>
            <w:tcW w:w="1795" w:type="dxa"/>
            <w:tcBorders>
              <w:left w:val="single" w:sz="4" w:space="0" w:color="000000"/>
              <w:bottom w:val="single" w:sz="4" w:space="0" w:color="000000"/>
              <w:right w:val="single" w:sz="4" w:space="0" w:color="000000"/>
            </w:tcBorders>
            <w:shd w:val="clear" w:color="auto" w:fill="auto"/>
            <w:vAlign w:val="bottom"/>
          </w:tcPr>
          <w:p w:rsidR="00DF3A77" w:rsidRPr="00DF3A77" w:rsidRDefault="00DF3A77" w:rsidP="00234E51">
            <w:pPr>
              <w:jc w:val="center"/>
              <w:rPr>
                <w:color w:val="000000"/>
                <w:szCs w:val="24"/>
                <w:lang w:val="ru-RU"/>
              </w:rPr>
            </w:pPr>
            <w:r w:rsidRPr="00DF3A77">
              <w:rPr>
                <w:color w:val="000000"/>
                <w:szCs w:val="24"/>
                <w:lang w:val="ru-RU"/>
              </w:rPr>
              <w:t>10</w:t>
            </w:r>
          </w:p>
        </w:tc>
        <w:tc>
          <w:tcPr>
            <w:tcW w:w="1395" w:type="dxa"/>
            <w:tcBorders>
              <w:left w:val="single" w:sz="4" w:space="0" w:color="000000"/>
              <w:bottom w:val="single" w:sz="4" w:space="0" w:color="000000"/>
              <w:right w:val="single" w:sz="4" w:space="0" w:color="000000"/>
            </w:tcBorders>
            <w:vAlign w:val="bottom"/>
          </w:tcPr>
          <w:p w:rsidR="00DF3A77" w:rsidRPr="00DF3A77" w:rsidRDefault="00DF3A77" w:rsidP="00234E51">
            <w:pPr>
              <w:jc w:val="center"/>
              <w:rPr>
                <w:color w:val="000000"/>
                <w:szCs w:val="24"/>
                <w:lang w:val="ru-RU"/>
              </w:rPr>
            </w:pPr>
            <w:r w:rsidRPr="00DF3A77">
              <w:rPr>
                <w:color w:val="000000"/>
                <w:szCs w:val="24"/>
                <w:lang w:val="ru-RU"/>
              </w:rPr>
              <w:t>10</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szCs w:val="24"/>
              </w:rPr>
              <w:t>Витрати на оплату праці</w:t>
            </w:r>
          </w:p>
        </w:tc>
        <w:tc>
          <w:tcPr>
            <w:tcW w:w="1795" w:type="dxa"/>
            <w:tcBorders>
              <w:left w:val="single" w:sz="4" w:space="0" w:color="000000"/>
              <w:bottom w:val="single" w:sz="4" w:space="0" w:color="000000"/>
              <w:right w:val="single" w:sz="4" w:space="0" w:color="000000"/>
            </w:tcBorders>
            <w:shd w:val="clear" w:color="auto" w:fill="auto"/>
            <w:vAlign w:val="bottom"/>
          </w:tcPr>
          <w:p w:rsidR="00DF3A77" w:rsidRPr="00DF3A77" w:rsidRDefault="00DF3A77" w:rsidP="00234E51">
            <w:pPr>
              <w:jc w:val="center"/>
              <w:rPr>
                <w:color w:val="000000"/>
                <w:szCs w:val="24"/>
              </w:rPr>
            </w:pPr>
            <w:r w:rsidRPr="00DF3A77">
              <w:rPr>
                <w:color w:val="000000"/>
                <w:szCs w:val="24"/>
              </w:rPr>
              <w:t>209</w:t>
            </w:r>
          </w:p>
        </w:tc>
        <w:tc>
          <w:tcPr>
            <w:tcW w:w="1395" w:type="dxa"/>
            <w:tcBorders>
              <w:left w:val="single" w:sz="4" w:space="0" w:color="000000"/>
              <w:bottom w:val="single" w:sz="4" w:space="0" w:color="000000"/>
              <w:right w:val="single" w:sz="4" w:space="0" w:color="000000"/>
            </w:tcBorders>
            <w:vAlign w:val="bottom"/>
          </w:tcPr>
          <w:p w:rsidR="00DF3A77" w:rsidRPr="00DF3A77" w:rsidRDefault="00DF3A77" w:rsidP="00234E51">
            <w:pPr>
              <w:jc w:val="center"/>
              <w:rPr>
                <w:color w:val="000000"/>
                <w:szCs w:val="24"/>
              </w:rPr>
            </w:pPr>
            <w:r w:rsidRPr="00DF3A77">
              <w:rPr>
                <w:color w:val="000000"/>
                <w:szCs w:val="24"/>
              </w:rPr>
              <w:t>213</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szCs w:val="24"/>
              </w:rPr>
              <w:t>Витрати на соціальні заходи</w:t>
            </w:r>
          </w:p>
        </w:tc>
        <w:tc>
          <w:tcPr>
            <w:tcW w:w="1795" w:type="dxa"/>
            <w:tcBorders>
              <w:left w:val="single" w:sz="4" w:space="0" w:color="000000"/>
              <w:bottom w:val="single" w:sz="4" w:space="0" w:color="000000"/>
              <w:right w:val="single" w:sz="4" w:space="0" w:color="000000"/>
            </w:tcBorders>
            <w:shd w:val="clear" w:color="auto" w:fill="auto"/>
            <w:vAlign w:val="bottom"/>
          </w:tcPr>
          <w:p w:rsidR="00DF3A77" w:rsidRPr="00DF3A77" w:rsidRDefault="00DF3A77" w:rsidP="00234E51">
            <w:pPr>
              <w:jc w:val="center"/>
              <w:rPr>
                <w:color w:val="000000"/>
                <w:szCs w:val="24"/>
              </w:rPr>
            </w:pPr>
            <w:r w:rsidRPr="00DF3A77">
              <w:rPr>
                <w:color w:val="000000"/>
                <w:szCs w:val="24"/>
              </w:rPr>
              <w:t>52</w:t>
            </w:r>
          </w:p>
        </w:tc>
        <w:tc>
          <w:tcPr>
            <w:tcW w:w="1395" w:type="dxa"/>
            <w:tcBorders>
              <w:left w:val="single" w:sz="4" w:space="0" w:color="000000"/>
              <w:bottom w:val="single" w:sz="4" w:space="0" w:color="000000"/>
              <w:right w:val="single" w:sz="4" w:space="0" w:color="000000"/>
            </w:tcBorders>
            <w:vAlign w:val="bottom"/>
          </w:tcPr>
          <w:p w:rsidR="00DF3A77" w:rsidRPr="00DF3A77" w:rsidRDefault="00DF3A77" w:rsidP="00234E51">
            <w:pPr>
              <w:jc w:val="center"/>
              <w:rPr>
                <w:color w:val="000000"/>
                <w:szCs w:val="24"/>
              </w:rPr>
            </w:pPr>
            <w:r w:rsidRPr="00DF3A77">
              <w:rPr>
                <w:color w:val="000000"/>
                <w:szCs w:val="24"/>
              </w:rPr>
              <w:t>49</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szCs w:val="24"/>
              </w:rPr>
              <w:t>Інші операційні витрати</w:t>
            </w:r>
          </w:p>
        </w:tc>
        <w:tc>
          <w:tcPr>
            <w:tcW w:w="1795" w:type="dxa"/>
            <w:tcBorders>
              <w:left w:val="single" w:sz="4" w:space="0" w:color="000000"/>
              <w:bottom w:val="single" w:sz="4" w:space="0" w:color="000000"/>
              <w:right w:val="single" w:sz="4" w:space="0" w:color="000000"/>
            </w:tcBorders>
            <w:shd w:val="clear" w:color="auto" w:fill="auto"/>
            <w:vAlign w:val="center"/>
          </w:tcPr>
          <w:p w:rsidR="00DF3A77" w:rsidRPr="00DF3A77" w:rsidRDefault="00DF3A77" w:rsidP="00234E51">
            <w:pPr>
              <w:jc w:val="center"/>
              <w:rPr>
                <w:color w:val="000000"/>
                <w:szCs w:val="24"/>
              </w:rPr>
            </w:pPr>
            <w:r w:rsidRPr="00DF3A77">
              <w:rPr>
                <w:color w:val="000000"/>
                <w:szCs w:val="24"/>
              </w:rPr>
              <w:t>2066</w:t>
            </w:r>
          </w:p>
        </w:tc>
        <w:tc>
          <w:tcPr>
            <w:tcW w:w="1395" w:type="dxa"/>
            <w:tcBorders>
              <w:left w:val="single" w:sz="4" w:space="0" w:color="000000"/>
              <w:bottom w:val="single" w:sz="4" w:space="0" w:color="000000"/>
              <w:right w:val="single" w:sz="4" w:space="0" w:color="000000"/>
            </w:tcBorders>
            <w:vAlign w:val="center"/>
          </w:tcPr>
          <w:p w:rsidR="00DF3A77" w:rsidRPr="00DF3A77" w:rsidRDefault="00DF3A77" w:rsidP="00234E51">
            <w:pPr>
              <w:jc w:val="center"/>
              <w:rPr>
                <w:color w:val="000000"/>
                <w:szCs w:val="24"/>
              </w:rPr>
            </w:pPr>
            <w:r w:rsidRPr="00DF3A77">
              <w:rPr>
                <w:color w:val="000000"/>
                <w:szCs w:val="24"/>
              </w:rPr>
              <w:t>1830</w:t>
            </w:r>
          </w:p>
        </w:tc>
      </w:tr>
      <w:tr w:rsidR="00DF3A77" w:rsidRPr="00DF3A77" w:rsidTr="00234E51">
        <w:trPr>
          <w:trHeight w:val="315"/>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bCs/>
                <w:szCs w:val="24"/>
              </w:rPr>
            </w:pPr>
            <w:r w:rsidRPr="00DF3A77">
              <w:rPr>
                <w:bCs/>
                <w:szCs w:val="24"/>
              </w:rPr>
              <w:t>Всього</w:t>
            </w:r>
          </w:p>
        </w:tc>
        <w:tc>
          <w:tcPr>
            <w:tcW w:w="1795" w:type="dxa"/>
            <w:tcBorders>
              <w:left w:val="single" w:sz="4" w:space="0" w:color="000000"/>
              <w:bottom w:val="single" w:sz="4" w:space="0" w:color="000000"/>
              <w:right w:val="single" w:sz="4" w:space="0" w:color="000000"/>
            </w:tcBorders>
            <w:shd w:val="clear" w:color="auto" w:fill="auto"/>
            <w:vAlign w:val="center"/>
          </w:tcPr>
          <w:p w:rsidR="00DF3A77" w:rsidRPr="00DF3A77" w:rsidRDefault="00DF3A77" w:rsidP="00234E51">
            <w:pPr>
              <w:snapToGrid w:val="0"/>
              <w:jc w:val="center"/>
              <w:rPr>
                <w:b/>
                <w:szCs w:val="24"/>
              </w:rPr>
            </w:pPr>
            <w:r w:rsidRPr="00DF3A77">
              <w:rPr>
                <w:b/>
                <w:szCs w:val="24"/>
              </w:rPr>
              <w:t>2506</w:t>
            </w:r>
          </w:p>
        </w:tc>
        <w:tc>
          <w:tcPr>
            <w:tcW w:w="1395" w:type="dxa"/>
            <w:tcBorders>
              <w:left w:val="single" w:sz="4" w:space="0" w:color="000000"/>
              <w:bottom w:val="single" w:sz="4" w:space="0" w:color="000000"/>
              <w:right w:val="single" w:sz="4" w:space="0" w:color="000000"/>
            </w:tcBorders>
            <w:vAlign w:val="center"/>
          </w:tcPr>
          <w:p w:rsidR="00DF3A77" w:rsidRPr="00DF3A77" w:rsidRDefault="00DF3A77" w:rsidP="00234E51">
            <w:pPr>
              <w:snapToGrid w:val="0"/>
              <w:jc w:val="center"/>
              <w:rPr>
                <w:b/>
                <w:szCs w:val="24"/>
              </w:rPr>
            </w:pPr>
            <w:r w:rsidRPr="00DF3A77">
              <w:rPr>
                <w:b/>
                <w:szCs w:val="24"/>
              </w:rPr>
              <w:t>2425</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firstLine="540"/>
        <w:jc w:val="both"/>
        <w:rPr>
          <w:szCs w:val="24"/>
        </w:rPr>
      </w:pPr>
      <w:r w:rsidRPr="00DF3A77">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рівні  29 тис грн. </w:t>
      </w:r>
    </w:p>
    <w:p w:rsidR="00DF3A77" w:rsidRPr="00DF3A77" w:rsidRDefault="00DF3A77" w:rsidP="00DF3A77">
      <w:pPr>
        <w:tabs>
          <w:tab w:val="left" w:pos="0"/>
        </w:tabs>
        <w:ind w:right="28" w:firstLine="540"/>
        <w:jc w:val="both"/>
        <w:rPr>
          <w:szCs w:val="24"/>
        </w:rPr>
      </w:pPr>
      <w:r w:rsidRPr="00DF3A77">
        <w:rPr>
          <w:szCs w:val="24"/>
        </w:rPr>
        <w:t>Перерахунок нарахованих відстрочених податкових  зобов'язань та  відстрочених податкових активів, які були нараховані станом на кінець 2020 року, підприємством не проводився, можливий вплив його не врахований.</w:t>
      </w:r>
    </w:p>
    <w:p w:rsidR="00DF3A77" w:rsidRPr="00DF3A77" w:rsidRDefault="00DF3A77" w:rsidP="00DF3A77">
      <w:pPr>
        <w:tabs>
          <w:tab w:val="left" w:pos="0"/>
        </w:tabs>
        <w:autoSpaceDE w:val="0"/>
        <w:ind w:left="15" w:right="28" w:firstLine="540"/>
        <w:jc w:val="both"/>
        <w:rPr>
          <w:szCs w:val="24"/>
        </w:rPr>
      </w:pPr>
    </w:p>
    <w:p w:rsidR="00DF3A77" w:rsidRPr="00DF3A77" w:rsidRDefault="00DF3A77" w:rsidP="00DF3A77">
      <w:pPr>
        <w:tabs>
          <w:tab w:val="left" w:pos="0"/>
        </w:tabs>
        <w:autoSpaceDE w:val="0"/>
        <w:ind w:left="15" w:right="28" w:firstLine="540"/>
        <w:jc w:val="both"/>
        <w:rPr>
          <w:b/>
          <w:szCs w:val="24"/>
        </w:rPr>
      </w:pPr>
      <w:r w:rsidRPr="00DF3A77">
        <w:rPr>
          <w:b/>
          <w:szCs w:val="24"/>
        </w:rPr>
        <w:lastRenderedPageBreak/>
        <w:t>6.4. Основні засоби</w:t>
      </w:r>
    </w:p>
    <w:p w:rsidR="00DF3A77" w:rsidRPr="00DF3A77" w:rsidRDefault="00DF3A77" w:rsidP="00DF3A77">
      <w:pPr>
        <w:tabs>
          <w:tab w:val="left" w:pos="0"/>
        </w:tabs>
        <w:ind w:firstLine="540"/>
        <w:jc w:val="both"/>
        <w:rPr>
          <w:szCs w:val="24"/>
        </w:rPr>
      </w:pPr>
      <w:r w:rsidRPr="00DF3A77">
        <w:rPr>
          <w:szCs w:val="24"/>
        </w:rPr>
        <w:t>Станом на 31 грудня 20</w:t>
      </w:r>
      <w:r w:rsidR="00B912C4">
        <w:rPr>
          <w:szCs w:val="24"/>
        </w:rPr>
        <w:t>20</w:t>
      </w:r>
      <w:r w:rsidRPr="00DF3A77">
        <w:rPr>
          <w:szCs w:val="24"/>
        </w:rPr>
        <w:t>р. основні засоби Товариства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9923" w:type="dxa"/>
        <w:tblInd w:w="55" w:type="dxa"/>
        <w:tblLayout w:type="fixed"/>
        <w:tblCellMar>
          <w:top w:w="55" w:type="dxa"/>
          <w:left w:w="55" w:type="dxa"/>
          <w:bottom w:w="55" w:type="dxa"/>
          <w:right w:w="55" w:type="dxa"/>
        </w:tblCellMar>
        <w:tblLook w:val="0000"/>
      </w:tblPr>
      <w:tblGrid>
        <w:gridCol w:w="6804"/>
        <w:gridCol w:w="1560"/>
        <w:gridCol w:w="1559"/>
      </w:tblGrid>
      <w:tr w:rsidR="00DF3A77" w:rsidRPr="00DF3A77" w:rsidTr="00234E51">
        <w:tc>
          <w:tcPr>
            <w:tcW w:w="6804" w:type="dxa"/>
            <w:tcBorders>
              <w:top w:val="single" w:sz="1" w:space="0" w:color="000000"/>
              <w:left w:val="single" w:sz="1" w:space="0" w:color="000000"/>
              <w:bottom w:val="single" w:sz="1" w:space="0" w:color="000000"/>
            </w:tcBorders>
            <w:shd w:val="clear" w:color="auto" w:fill="auto"/>
          </w:tcPr>
          <w:p w:rsidR="00DF3A77" w:rsidRPr="00DF3A77" w:rsidRDefault="00DF3A77" w:rsidP="00234E51">
            <w:pPr>
              <w:pStyle w:val="a3"/>
              <w:snapToGrid w:val="0"/>
              <w:jc w:val="both"/>
              <w:rPr>
                <w:b/>
                <w:bCs/>
                <w:sz w:val="24"/>
                <w:szCs w:val="24"/>
                <w:lang w:val="uk-UA"/>
              </w:rPr>
            </w:pPr>
          </w:p>
        </w:tc>
        <w:tc>
          <w:tcPr>
            <w:tcW w:w="1560" w:type="dxa"/>
            <w:tcBorders>
              <w:top w:val="single" w:sz="1" w:space="0" w:color="000000"/>
              <w:left w:val="single" w:sz="1" w:space="0" w:color="000000"/>
              <w:bottom w:val="single" w:sz="1" w:space="0" w:color="000000"/>
              <w:right w:val="single" w:sz="1" w:space="0" w:color="000000"/>
            </w:tcBorders>
          </w:tcPr>
          <w:p w:rsidR="00DF3A77" w:rsidRPr="00DF3A77" w:rsidRDefault="00DF3A77" w:rsidP="00234E51">
            <w:pPr>
              <w:pStyle w:val="a3"/>
              <w:snapToGrid w:val="0"/>
              <w:jc w:val="center"/>
              <w:rPr>
                <w:b/>
                <w:bCs/>
                <w:sz w:val="24"/>
                <w:szCs w:val="24"/>
                <w:lang w:val="uk-UA"/>
              </w:rPr>
            </w:pPr>
            <w:r w:rsidRPr="00DF3A77">
              <w:rPr>
                <w:b/>
                <w:sz w:val="24"/>
                <w:szCs w:val="24"/>
                <w:lang w:val="uk-UA"/>
              </w:rPr>
              <w:t xml:space="preserve">Основні засоби </w:t>
            </w:r>
            <w:r w:rsidRPr="00DF3A77">
              <w:rPr>
                <w:b/>
                <w:bCs/>
                <w:color w:val="000000"/>
                <w:sz w:val="24"/>
                <w:szCs w:val="24"/>
                <w:lang w:val="uk-UA"/>
              </w:rPr>
              <w:t>2020 рік</w:t>
            </w:r>
          </w:p>
        </w:tc>
        <w:tc>
          <w:tcPr>
            <w:tcW w:w="1559" w:type="dxa"/>
            <w:tcBorders>
              <w:top w:val="single" w:sz="1" w:space="0" w:color="000000"/>
              <w:left w:val="single" w:sz="1" w:space="0" w:color="000000"/>
              <w:bottom w:val="single" w:sz="1" w:space="0" w:color="000000"/>
            </w:tcBorders>
            <w:shd w:val="clear" w:color="auto" w:fill="auto"/>
          </w:tcPr>
          <w:p w:rsidR="00DF3A77" w:rsidRPr="00DF3A77" w:rsidRDefault="00DF3A77" w:rsidP="00234E51">
            <w:pPr>
              <w:pStyle w:val="a3"/>
              <w:snapToGrid w:val="0"/>
              <w:jc w:val="center"/>
              <w:rPr>
                <w:b/>
                <w:bCs/>
                <w:sz w:val="24"/>
                <w:szCs w:val="24"/>
                <w:lang w:val="uk-UA"/>
              </w:rPr>
            </w:pPr>
            <w:r w:rsidRPr="00DF3A77">
              <w:rPr>
                <w:b/>
                <w:sz w:val="24"/>
                <w:szCs w:val="24"/>
                <w:lang w:val="uk-UA"/>
              </w:rPr>
              <w:t xml:space="preserve">Основні засоби </w:t>
            </w:r>
            <w:r w:rsidRPr="00DF3A77">
              <w:rPr>
                <w:b/>
                <w:bCs/>
                <w:color w:val="000000"/>
                <w:sz w:val="24"/>
                <w:szCs w:val="24"/>
                <w:lang w:val="uk-UA"/>
              </w:rPr>
              <w:t>2019 рік</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szCs w:val="24"/>
              </w:rPr>
            </w:pPr>
            <w:r w:rsidRPr="00DF3A77">
              <w:rPr>
                <w:szCs w:val="24"/>
              </w:rPr>
              <w:t>Первісна вартість станом на початок звітного року</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bCs/>
                <w:sz w:val="24"/>
                <w:szCs w:val="24"/>
                <w:lang w:val="uk-UA"/>
              </w:rPr>
            </w:pPr>
            <w:r w:rsidRPr="00DF3A77">
              <w:rPr>
                <w:bCs/>
                <w:sz w:val="24"/>
                <w:szCs w:val="24"/>
                <w:lang w:val="uk-UA"/>
              </w:rPr>
              <w:t>130</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bCs/>
                <w:sz w:val="24"/>
                <w:szCs w:val="24"/>
                <w:lang w:val="uk-UA"/>
              </w:rPr>
            </w:pPr>
            <w:r w:rsidRPr="00DF3A77">
              <w:rPr>
                <w:bCs/>
                <w:sz w:val="24"/>
                <w:szCs w:val="24"/>
                <w:lang w:val="uk-UA"/>
              </w:rPr>
              <w:t>220</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szCs w:val="24"/>
              </w:rPr>
            </w:pPr>
            <w:r w:rsidRPr="00DF3A77">
              <w:rPr>
                <w:szCs w:val="24"/>
              </w:rPr>
              <w:t>Придбано основних засобів</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sz w:val="24"/>
                <w:szCs w:val="24"/>
                <w:lang w:val="uk-UA"/>
              </w:rPr>
            </w:pP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sz w:val="24"/>
                <w:szCs w:val="24"/>
                <w:lang w:val="uk-UA"/>
              </w:rPr>
            </w:pPr>
            <w:r w:rsidRPr="00DF3A77">
              <w:rPr>
                <w:sz w:val="24"/>
                <w:szCs w:val="24"/>
                <w:lang w:val="uk-UA"/>
              </w:rPr>
              <w:t>30</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szCs w:val="24"/>
              </w:rPr>
            </w:pPr>
            <w:r w:rsidRPr="00DF3A77">
              <w:rPr>
                <w:szCs w:val="24"/>
              </w:rPr>
              <w:t>Вибуло</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sz w:val="24"/>
                <w:szCs w:val="24"/>
                <w:lang w:val="uk-UA"/>
              </w:rPr>
            </w:pP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sz w:val="24"/>
                <w:szCs w:val="24"/>
                <w:lang w:val="uk-UA"/>
              </w:rPr>
            </w:pPr>
            <w:r w:rsidRPr="00DF3A77">
              <w:rPr>
                <w:sz w:val="24"/>
                <w:szCs w:val="24"/>
                <w:lang w:val="uk-UA"/>
              </w:rPr>
              <w:t>120</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bCs/>
                <w:szCs w:val="24"/>
              </w:rPr>
            </w:pPr>
            <w:r w:rsidRPr="00DF3A77">
              <w:rPr>
                <w:bCs/>
                <w:szCs w:val="24"/>
              </w:rPr>
              <w:t>Первісна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bCs/>
                <w:sz w:val="24"/>
                <w:szCs w:val="24"/>
                <w:lang w:val="uk-UA"/>
              </w:rPr>
            </w:pPr>
            <w:r w:rsidRPr="00DF3A77">
              <w:rPr>
                <w:bCs/>
                <w:sz w:val="24"/>
                <w:szCs w:val="24"/>
                <w:lang w:val="uk-UA"/>
              </w:rPr>
              <w:t>130</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bCs/>
                <w:sz w:val="24"/>
                <w:szCs w:val="24"/>
                <w:lang w:val="uk-UA"/>
              </w:rPr>
            </w:pPr>
            <w:r w:rsidRPr="00DF3A77">
              <w:rPr>
                <w:bCs/>
                <w:sz w:val="24"/>
                <w:szCs w:val="24"/>
                <w:lang w:val="uk-UA"/>
              </w:rPr>
              <w:t>130</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bCs/>
                <w:szCs w:val="24"/>
              </w:rPr>
            </w:pPr>
            <w:r w:rsidRPr="00DF3A77">
              <w:rPr>
                <w:bCs/>
                <w:szCs w:val="24"/>
              </w:rPr>
              <w:t>Накопичена амортизація станом на початок звітного року</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bCs/>
                <w:sz w:val="24"/>
                <w:szCs w:val="24"/>
                <w:lang w:val="uk-UA"/>
              </w:rPr>
            </w:pPr>
            <w:r w:rsidRPr="00DF3A77">
              <w:rPr>
                <w:bCs/>
                <w:sz w:val="24"/>
                <w:szCs w:val="24"/>
                <w:lang w:val="uk-UA"/>
              </w:rPr>
              <w:t>45</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bCs/>
                <w:sz w:val="24"/>
                <w:szCs w:val="24"/>
                <w:lang w:val="uk-UA"/>
              </w:rPr>
            </w:pPr>
            <w:r w:rsidRPr="00DF3A77">
              <w:rPr>
                <w:bCs/>
                <w:sz w:val="24"/>
                <w:szCs w:val="24"/>
                <w:lang w:val="uk-UA"/>
              </w:rPr>
              <w:t>102</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szCs w:val="24"/>
              </w:rPr>
            </w:pPr>
            <w:r w:rsidRPr="00DF3A77">
              <w:rPr>
                <w:szCs w:val="24"/>
              </w:rPr>
              <w:t>Амортизаційні нарахування за звітний період</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sz w:val="24"/>
                <w:szCs w:val="24"/>
                <w:lang w:val="uk-UA"/>
              </w:rPr>
            </w:pPr>
            <w:r w:rsidRPr="00DF3A77">
              <w:rPr>
                <w:sz w:val="24"/>
                <w:szCs w:val="24"/>
                <w:lang w:val="uk-UA"/>
              </w:rPr>
              <w:t>10</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sz w:val="24"/>
                <w:szCs w:val="24"/>
                <w:lang w:val="uk-UA"/>
              </w:rPr>
            </w:pPr>
            <w:r w:rsidRPr="00DF3A77">
              <w:rPr>
                <w:sz w:val="24"/>
                <w:szCs w:val="24"/>
                <w:lang w:val="uk-UA"/>
              </w:rPr>
              <w:t>10</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szCs w:val="24"/>
              </w:rPr>
            </w:pPr>
            <w:r w:rsidRPr="00DF3A77">
              <w:rPr>
                <w:szCs w:val="24"/>
              </w:rPr>
              <w:t>Амортизація станом на кінець звітного періоду</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bCs/>
                <w:sz w:val="24"/>
                <w:szCs w:val="24"/>
                <w:lang w:val="uk-UA"/>
              </w:rPr>
            </w:pPr>
            <w:r w:rsidRPr="00DF3A77">
              <w:rPr>
                <w:bCs/>
                <w:sz w:val="24"/>
                <w:szCs w:val="24"/>
                <w:lang w:val="uk-UA"/>
              </w:rPr>
              <w:t>55</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bCs/>
                <w:sz w:val="24"/>
                <w:szCs w:val="24"/>
                <w:lang w:val="uk-UA"/>
              </w:rPr>
            </w:pPr>
            <w:r w:rsidRPr="00DF3A77">
              <w:rPr>
                <w:bCs/>
                <w:sz w:val="24"/>
                <w:szCs w:val="24"/>
                <w:lang w:val="uk-UA"/>
              </w:rPr>
              <w:t>45</w:t>
            </w:r>
          </w:p>
        </w:tc>
      </w:tr>
      <w:tr w:rsidR="00DF3A77" w:rsidRPr="00DF3A77" w:rsidTr="00234E51">
        <w:tc>
          <w:tcPr>
            <w:tcW w:w="6804" w:type="dxa"/>
            <w:tcBorders>
              <w:left w:val="single" w:sz="1" w:space="0" w:color="000000"/>
              <w:bottom w:val="single" w:sz="1" w:space="0" w:color="000000"/>
            </w:tcBorders>
            <w:shd w:val="clear" w:color="auto" w:fill="auto"/>
          </w:tcPr>
          <w:p w:rsidR="00DF3A77" w:rsidRPr="00DF3A77" w:rsidRDefault="00DF3A77" w:rsidP="00234E51">
            <w:pPr>
              <w:snapToGrid w:val="0"/>
              <w:rPr>
                <w:bCs/>
                <w:szCs w:val="24"/>
              </w:rPr>
            </w:pPr>
            <w:r w:rsidRPr="00DF3A77">
              <w:rPr>
                <w:bCs/>
                <w:szCs w:val="24"/>
              </w:rPr>
              <w:t>Балансова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DF3A77" w:rsidRPr="00DF3A77" w:rsidRDefault="00DF3A77" w:rsidP="00234E51">
            <w:pPr>
              <w:pStyle w:val="a3"/>
              <w:snapToGrid w:val="0"/>
              <w:rPr>
                <w:bCs/>
                <w:sz w:val="24"/>
                <w:szCs w:val="24"/>
                <w:lang w:val="uk-UA"/>
              </w:rPr>
            </w:pPr>
            <w:r w:rsidRPr="00DF3A77">
              <w:rPr>
                <w:bCs/>
                <w:sz w:val="24"/>
                <w:szCs w:val="24"/>
                <w:lang w:val="uk-UA"/>
              </w:rPr>
              <w:t>75</w:t>
            </w:r>
          </w:p>
        </w:tc>
        <w:tc>
          <w:tcPr>
            <w:tcW w:w="1559" w:type="dxa"/>
            <w:tcBorders>
              <w:left w:val="single" w:sz="1" w:space="0" w:color="000000"/>
              <w:bottom w:val="single" w:sz="1" w:space="0" w:color="000000"/>
            </w:tcBorders>
            <w:shd w:val="clear" w:color="auto" w:fill="auto"/>
          </w:tcPr>
          <w:p w:rsidR="00DF3A77" w:rsidRPr="00DF3A77" w:rsidRDefault="00DF3A77" w:rsidP="00234E51">
            <w:pPr>
              <w:pStyle w:val="a3"/>
              <w:snapToGrid w:val="0"/>
              <w:rPr>
                <w:bCs/>
                <w:sz w:val="24"/>
                <w:szCs w:val="24"/>
                <w:lang w:val="uk-UA"/>
              </w:rPr>
            </w:pPr>
            <w:r w:rsidRPr="00DF3A77">
              <w:rPr>
                <w:bCs/>
                <w:sz w:val="24"/>
                <w:szCs w:val="24"/>
                <w:lang w:val="uk-UA"/>
              </w:rPr>
              <w:t>85</w:t>
            </w:r>
          </w:p>
        </w:tc>
      </w:tr>
    </w:tbl>
    <w:p w:rsidR="00DF3A77" w:rsidRPr="00DF3A77" w:rsidRDefault="00DF3A77" w:rsidP="00DF3A77">
      <w:pPr>
        <w:rPr>
          <w:szCs w:val="24"/>
        </w:rPr>
      </w:pPr>
    </w:p>
    <w:p w:rsidR="00DF3A77" w:rsidRPr="00DF3A77" w:rsidRDefault="00DF3A77" w:rsidP="00DF3A77">
      <w:pPr>
        <w:ind w:firstLine="567"/>
        <w:jc w:val="both"/>
        <w:rPr>
          <w:szCs w:val="24"/>
        </w:rPr>
      </w:pPr>
      <w:r w:rsidRPr="00DF3A77">
        <w:rPr>
          <w:szCs w:val="24"/>
        </w:rPr>
        <w:t xml:space="preserve">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 </w:t>
      </w:r>
    </w:p>
    <w:p w:rsidR="00DF3A77" w:rsidRPr="00DF3A77" w:rsidRDefault="00DF3A77" w:rsidP="00DF3A77">
      <w:pPr>
        <w:ind w:firstLine="567"/>
        <w:jc w:val="both"/>
        <w:rPr>
          <w:b/>
          <w:i/>
          <w:szCs w:val="24"/>
        </w:rPr>
      </w:pPr>
    </w:p>
    <w:p w:rsidR="00DF3A77" w:rsidRPr="00DF3A77" w:rsidRDefault="00DF3A77" w:rsidP="00DF3A77">
      <w:pPr>
        <w:ind w:firstLine="567"/>
        <w:jc w:val="both"/>
        <w:rPr>
          <w:b/>
          <w:i/>
          <w:szCs w:val="24"/>
        </w:rPr>
      </w:pPr>
      <w:r w:rsidRPr="00DF3A77">
        <w:rPr>
          <w:b/>
          <w:i/>
          <w:szCs w:val="24"/>
        </w:rPr>
        <w:t>Фінансові активи та фінансові зобов’язання</w:t>
      </w:r>
    </w:p>
    <w:p w:rsidR="00DF3A77" w:rsidRPr="00DF3A77" w:rsidRDefault="00DF3A77" w:rsidP="00DF3A77">
      <w:pPr>
        <w:pStyle w:val="13"/>
        <w:numPr>
          <w:ilvl w:val="2"/>
          <w:numId w:val="7"/>
        </w:numPr>
        <w:shd w:val="clear" w:color="auto" w:fill="auto"/>
        <w:tabs>
          <w:tab w:val="left" w:pos="0"/>
        </w:tabs>
        <w:spacing w:before="0" w:after="0" w:line="240" w:lineRule="auto"/>
        <w:contextualSpacing/>
        <w:jc w:val="both"/>
        <w:rPr>
          <w:rFonts w:ascii="Times New Roman" w:hAnsi="Times New Roman" w:cs="Times New Roman"/>
          <w:b/>
          <w:i/>
          <w:sz w:val="24"/>
          <w:szCs w:val="24"/>
        </w:rPr>
      </w:pPr>
      <w:r w:rsidRPr="00DF3A77">
        <w:rPr>
          <w:rFonts w:ascii="Times New Roman" w:hAnsi="Times New Roman" w:cs="Times New Roman"/>
          <w:b/>
          <w:i/>
          <w:sz w:val="24"/>
          <w:szCs w:val="24"/>
        </w:rPr>
        <w:t>Фінансові активи</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Фінансові активи товариства складаються з:</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дебіторської заборгованості;</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грошових коштів.</w:t>
      </w:r>
    </w:p>
    <w:p w:rsidR="00DF3A77" w:rsidRPr="00DF3A77" w:rsidRDefault="00DF3A77" w:rsidP="00DF3A77">
      <w:pPr>
        <w:tabs>
          <w:tab w:val="left" w:pos="0"/>
        </w:tabs>
        <w:ind w:firstLine="567"/>
        <w:contextualSpacing/>
        <w:jc w:val="both"/>
        <w:rPr>
          <w:szCs w:val="24"/>
        </w:rPr>
      </w:pPr>
      <w:r w:rsidRPr="00DF3A77">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застосовує введений з 1 січня 2018 року МСФЗ 9.</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Первісною оцінкою фінансових активів є справедлива вартість плюс витрати на операції, які прямо відносяться до їх придбання. 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 Свідченням справедливої вартості є ціни </w:t>
      </w:r>
      <w:proofErr w:type="spellStart"/>
      <w:r w:rsidRPr="00DF3A77">
        <w:rPr>
          <w:rFonts w:ascii="Times New Roman" w:hAnsi="Times New Roman" w:cs="Times New Roman"/>
          <w:sz w:val="24"/>
          <w:szCs w:val="24"/>
        </w:rPr>
        <w:t>котування</w:t>
      </w:r>
      <w:proofErr w:type="spellEnd"/>
      <w:r w:rsidRPr="00DF3A77">
        <w:rPr>
          <w:rFonts w:ascii="Times New Roman" w:hAnsi="Times New Roman" w:cs="Times New Roman"/>
          <w:sz w:val="24"/>
          <w:szCs w:val="24"/>
        </w:rPr>
        <w:t xml:space="preserve"> на активному ринку. Якщо ринок для фінансового інструмента не є активним, справедливу вартість встановлювати шляхом:</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rPr>
          <w:rFonts w:ascii="Times New Roman" w:hAnsi="Times New Roman" w:cs="Times New Roman"/>
          <w:sz w:val="24"/>
          <w:szCs w:val="24"/>
        </w:rPr>
      </w:pPr>
      <w:r w:rsidRPr="00DF3A77">
        <w:rPr>
          <w:rFonts w:ascii="Times New Roman" w:hAnsi="Times New Roman" w:cs="Times New Roman"/>
          <w:sz w:val="24"/>
          <w:szCs w:val="24"/>
        </w:rPr>
        <w:t>застосування останніх ринкових операцій, якщо вони доступні;</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посилання на поточну справедливу вартість іншого інструмента, який в основному є подібним.</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DF3A77" w:rsidRPr="00DF3A77" w:rsidRDefault="00DF3A77" w:rsidP="00DF3A77">
      <w:pPr>
        <w:pStyle w:val="13"/>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а) позики та дебіторська заборгованість,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 інвестиції, утримувані до погашення,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Безнадійною визнається заборгованість, щодо якої не існує вірогідності її погашення. </w:t>
      </w:r>
      <w:r w:rsidRPr="00DF3A77">
        <w:rPr>
          <w:rFonts w:ascii="Times New Roman" w:hAnsi="Times New Roman" w:cs="Times New Roman"/>
          <w:sz w:val="24"/>
          <w:szCs w:val="24"/>
        </w:rPr>
        <w:lastRenderedPageBreak/>
        <w:t>Даний факт затверджується керівником підприємства.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Виділяються такі види довгострокової дебіторської заборгованості:</w:t>
      </w:r>
    </w:p>
    <w:p w:rsidR="00DF3A77" w:rsidRPr="00DF3A77" w:rsidRDefault="00DF3A77" w:rsidP="00DF3A77">
      <w:pPr>
        <w:tabs>
          <w:tab w:val="left" w:pos="0"/>
        </w:tabs>
        <w:ind w:firstLine="567"/>
        <w:contextualSpacing/>
        <w:jc w:val="both"/>
        <w:rPr>
          <w:szCs w:val="24"/>
        </w:rPr>
      </w:pPr>
      <w:r w:rsidRPr="00DF3A77">
        <w:rPr>
          <w:szCs w:val="24"/>
        </w:rPr>
        <w:t>- дебіторська заборгованість за наданими кредитами;</w:t>
      </w:r>
    </w:p>
    <w:p w:rsidR="00DF3A77" w:rsidRPr="00DF3A77" w:rsidRDefault="00DF3A77" w:rsidP="00DF3A77">
      <w:pPr>
        <w:tabs>
          <w:tab w:val="left" w:pos="0"/>
        </w:tabs>
        <w:ind w:firstLine="567"/>
        <w:contextualSpacing/>
        <w:jc w:val="both"/>
        <w:rPr>
          <w:szCs w:val="24"/>
        </w:rPr>
      </w:pPr>
      <w:r w:rsidRPr="00DF3A77">
        <w:rPr>
          <w:szCs w:val="24"/>
        </w:rPr>
        <w:t>- інша довгострокова дебіторська заборгованість.</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DF3A77" w:rsidRPr="00DF3A77" w:rsidRDefault="00DF3A77" w:rsidP="00DF3A77">
      <w:pPr>
        <w:tabs>
          <w:tab w:val="left" w:pos="0"/>
        </w:tabs>
        <w:ind w:firstLine="567"/>
        <w:contextualSpacing/>
        <w:jc w:val="both"/>
        <w:outlineLvl w:val="2"/>
        <w:rPr>
          <w:szCs w:val="24"/>
        </w:rPr>
      </w:pPr>
      <w:r w:rsidRPr="00DF3A77">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DF3A77" w:rsidRPr="00DF3A77" w:rsidRDefault="00DF3A77" w:rsidP="00DF3A77">
      <w:pPr>
        <w:pStyle w:val="3"/>
        <w:tabs>
          <w:tab w:val="left" w:pos="0"/>
        </w:tabs>
        <w:spacing w:before="0" w:after="0" w:line="240" w:lineRule="auto"/>
        <w:ind w:firstLine="567"/>
        <w:contextualSpacing/>
        <w:jc w:val="both"/>
        <w:rPr>
          <w:rFonts w:ascii="Times New Roman" w:hAnsi="Times New Roman"/>
          <w:b w:val="0"/>
          <w:bCs w:val="0"/>
          <w:sz w:val="24"/>
          <w:szCs w:val="24"/>
          <w:lang w:val="uk-UA" w:eastAsia="uk-UA"/>
        </w:rPr>
      </w:pPr>
      <w:r w:rsidRPr="00DF3A77">
        <w:rPr>
          <w:rFonts w:ascii="Times New Roman" w:hAnsi="Times New Roman"/>
          <w:b w:val="0"/>
          <w:sz w:val="24"/>
          <w:szCs w:val="24"/>
        </w:rPr>
        <w:t xml:space="preserve">Характеристика </w:t>
      </w:r>
      <w:r w:rsidRPr="00DF3A77">
        <w:rPr>
          <w:rFonts w:ascii="Times New Roman" w:hAnsi="Times New Roman"/>
          <w:b w:val="0"/>
          <w:sz w:val="24"/>
          <w:szCs w:val="24"/>
          <w:lang w:val="uk-UA"/>
        </w:rPr>
        <w:t>фінансових активів (з</w:t>
      </w:r>
      <w:r w:rsidRPr="00DF3A77">
        <w:rPr>
          <w:rFonts w:ascii="Times New Roman" w:hAnsi="Times New Roman"/>
          <w:b w:val="0"/>
          <w:bCs w:val="0"/>
          <w:sz w:val="24"/>
          <w:szCs w:val="24"/>
          <w:lang w:val="uk-UA" w:eastAsia="uk-UA"/>
        </w:rPr>
        <w:t xml:space="preserve"> застосуванням МСФЗ  9)</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2165"/>
        <w:gridCol w:w="1980"/>
        <w:gridCol w:w="1620"/>
        <w:gridCol w:w="1742"/>
        <w:gridCol w:w="1652"/>
      </w:tblGrid>
      <w:tr w:rsidR="00DF3A77" w:rsidRPr="00DF3A77" w:rsidTr="00234E51">
        <w:tc>
          <w:tcPr>
            <w:tcW w:w="823"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 xml:space="preserve">№п/п </w:t>
            </w:r>
          </w:p>
        </w:tc>
        <w:tc>
          <w:tcPr>
            <w:tcW w:w="2165"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Вид фінансового активу</w:t>
            </w:r>
          </w:p>
        </w:tc>
        <w:tc>
          <w:tcPr>
            <w:tcW w:w="198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Предмет заборгованості</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Назва контрагента</w:t>
            </w:r>
          </w:p>
        </w:tc>
        <w:tc>
          <w:tcPr>
            <w:tcW w:w="1742"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На 31.12.2020р. тис грн.</w:t>
            </w:r>
          </w:p>
        </w:tc>
        <w:tc>
          <w:tcPr>
            <w:tcW w:w="1652"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 xml:space="preserve">На 31.12.2019р. </w:t>
            </w:r>
            <w:proofErr w:type="spellStart"/>
            <w:r w:rsidRPr="00DF3A77">
              <w:rPr>
                <w:rFonts w:eastAsia="Times New Roman"/>
                <w:szCs w:val="24"/>
                <w:lang w:eastAsia="uk-UA"/>
              </w:rPr>
              <w:t>тис.грн</w:t>
            </w:r>
            <w:proofErr w:type="spellEnd"/>
            <w:r w:rsidRPr="00DF3A77">
              <w:rPr>
                <w:rFonts w:eastAsia="Times New Roman"/>
                <w:szCs w:val="24"/>
                <w:lang w:eastAsia="uk-UA"/>
              </w:rPr>
              <w:t>.</w:t>
            </w:r>
          </w:p>
        </w:tc>
      </w:tr>
      <w:tr w:rsidR="00DF3A77" w:rsidRPr="00DF3A77" w:rsidTr="00234E51">
        <w:tc>
          <w:tcPr>
            <w:tcW w:w="823"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1</w:t>
            </w:r>
          </w:p>
        </w:tc>
        <w:tc>
          <w:tcPr>
            <w:tcW w:w="2165"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2</w:t>
            </w:r>
          </w:p>
        </w:tc>
        <w:tc>
          <w:tcPr>
            <w:tcW w:w="198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3</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4</w:t>
            </w:r>
          </w:p>
        </w:tc>
        <w:tc>
          <w:tcPr>
            <w:tcW w:w="1742"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5</w:t>
            </w:r>
          </w:p>
        </w:tc>
        <w:tc>
          <w:tcPr>
            <w:tcW w:w="1652"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6</w:t>
            </w:r>
          </w:p>
        </w:tc>
      </w:tr>
      <w:tr w:rsidR="00DF3A77" w:rsidRPr="00DF3A77" w:rsidTr="00234E51">
        <w:tc>
          <w:tcPr>
            <w:tcW w:w="9982" w:type="dxa"/>
            <w:gridSpan w:val="6"/>
            <w:shd w:val="clear" w:color="auto" w:fill="auto"/>
          </w:tcPr>
          <w:p w:rsidR="00DF3A77" w:rsidRPr="00DF3A77" w:rsidRDefault="00DF3A77" w:rsidP="00234E51">
            <w:pPr>
              <w:mirrorIndents/>
              <w:jc w:val="center"/>
              <w:outlineLvl w:val="2"/>
              <w:rPr>
                <w:rFonts w:eastAsia="Times New Roman"/>
                <w:bCs/>
                <w:i/>
                <w:szCs w:val="24"/>
                <w:lang w:eastAsia="uk-UA"/>
              </w:rPr>
            </w:pPr>
            <w:r w:rsidRPr="00DF3A77">
              <w:rPr>
                <w:rFonts w:eastAsia="Times New Roman"/>
                <w:bCs/>
                <w:szCs w:val="24"/>
                <w:lang w:eastAsia="uk-UA"/>
              </w:rPr>
              <w:t xml:space="preserve">Фінансові активів, що оцінюються </w:t>
            </w:r>
            <w:r w:rsidRPr="00DF3A77">
              <w:rPr>
                <w:rFonts w:eastAsia="Times New Roman"/>
                <w:b/>
                <w:bCs/>
                <w:szCs w:val="24"/>
                <w:lang w:eastAsia="uk-UA"/>
              </w:rPr>
              <w:t>за амортизованою вартістю</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1</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Торговельна дебіторська заборгованість</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2</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Дебіторська заборгованість</w:t>
            </w:r>
          </w:p>
        </w:tc>
        <w:tc>
          <w:tcPr>
            <w:tcW w:w="1980" w:type="dxa"/>
            <w:shd w:val="clear" w:color="auto" w:fill="auto"/>
          </w:tcPr>
          <w:p w:rsidR="00DF3A77" w:rsidRPr="00DF3A77" w:rsidRDefault="00DF3A77" w:rsidP="00234E51">
            <w:pPr>
              <w:mirrorIndents/>
              <w:jc w:val="both"/>
              <w:outlineLvl w:val="2"/>
              <w:rPr>
                <w:rFonts w:eastAsia="Times New Roman"/>
                <w:bCs/>
                <w:szCs w:val="24"/>
                <w:lang w:eastAsia="uk-UA"/>
              </w:rPr>
            </w:pPr>
            <w:r w:rsidRPr="00DF3A77">
              <w:rPr>
                <w:szCs w:val="24"/>
              </w:rPr>
              <w:t>щодо наданих кредитів</w:t>
            </w:r>
          </w:p>
        </w:tc>
        <w:tc>
          <w:tcPr>
            <w:tcW w:w="1620" w:type="dxa"/>
            <w:shd w:val="clear" w:color="auto" w:fill="auto"/>
          </w:tcPr>
          <w:p w:rsidR="00DF3A77" w:rsidRPr="00DF3A77" w:rsidRDefault="00DF3A77" w:rsidP="00234E51">
            <w:pPr>
              <w:mirrorIndents/>
              <w:jc w:val="both"/>
              <w:rPr>
                <w:rFonts w:eastAsia="Times New Roman"/>
                <w:szCs w:val="24"/>
                <w:lang w:eastAsia="uk-UA"/>
              </w:rPr>
            </w:pPr>
          </w:p>
        </w:tc>
        <w:tc>
          <w:tcPr>
            <w:tcW w:w="1742" w:type="dxa"/>
            <w:shd w:val="clear" w:color="auto" w:fill="auto"/>
          </w:tcPr>
          <w:p w:rsidR="00DF3A77" w:rsidRPr="00DF3A77" w:rsidRDefault="00DF3A77" w:rsidP="00033736">
            <w:pPr>
              <w:mirrorIndents/>
              <w:jc w:val="both"/>
              <w:rPr>
                <w:rFonts w:eastAsia="Times New Roman"/>
                <w:szCs w:val="24"/>
                <w:lang w:eastAsia="uk-UA"/>
              </w:rPr>
            </w:pPr>
            <w:r w:rsidRPr="00DF3A77">
              <w:rPr>
                <w:rFonts w:eastAsia="Times New Roman"/>
                <w:szCs w:val="24"/>
                <w:lang w:eastAsia="uk-UA"/>
              </w:rPr>
              <w:t xml:space="preserve"> </w:t>
            </w:r>
            <w:r w:rsidR="00033736">
              <w:rPr>
                <w:rFonts w:eastAsia="Times New Roman"/>
                <w:szCs w:val="24"/>
                <w:lang w:eastAsia="uk-UA"/>
              </w:rPr>
              <w:t>1024</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1467</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3</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Інша дебіторська заборгованість</w:t>
            </w:r>
          </w:p>
        </w:tc>
        <w:tc>
          <w:tcPr>
            <w:tcW w:w="1980" w:type="dxa"/>
            <w:shd w:val="clear" w:color="auto" w:fill="auto"/>
          </w:tcPr>
          <w:p w:rsidR="00DF3A77" w:rsidRPr="00DF3A77" w:rsidRDefault="00DF3A77" w:rsidP="00234E51">
            <w:pPr>
              <w:mirrorIndents/>
              <w:jc w:val="both"/>
              <w:outlineLvl w:val="2"/>
              <w:rPr>
                <w:rFonts w:eastAsia="Times New Roman"/>
                <w:bCs/>
                <w:szCs w:val="24"/>
                <w:lang w:eastAsia="uk-UA"/>
              </w:rPr>
            </w:pPr>
            <w:r w:rsidRPr="00DF3A77">
              <w:rPr>
                <w:rFonts w:eastAsia="Times New Roman"/>
                <w:bCs/>
                <w:szCs w:val="24"/>
                <w:lang w:eastAsia="uk-UA"/>
              </w:rPr>
              <w:t>-</w:t>
            </w: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652" w:type="dxa"/>
            <w:shd w:val="clear" w:color="auto" w:fill="auto"/>
          </w:tcPr>
          <w:p w:rsidR="00DF3A77" w:rsidRPr="00DF3A77" w:rsidRDefault="00DF3A77" w:rsidP="00234E51">
            <w:pPr>
              <w:mirrorIndents/>
              <w:jc w:val="both"/>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4</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Факторинг (за наявності операцій)</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 </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 </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5</w:t>
            </w:r>
          </w:p>
        </w:tc>
        <w:tc>
          <w:tcPr>
            <w:tcW w:w="2165" w:type="dxa"/>
            <w:shd w:val="clear" w:color="auto" w:fill="auto"/>
          </w:tcPr>
          <w:p w:rsidR="00DF3A77" w:rsidRPr="00DF3A77" w:rsidRDefault="00DF3A77" w:rsidP="00234E51">
            <w:pPr>
              <w:mirrorIndents/>
              <w:rPr>
                <w:rFonts w:eastAsia="Times New Roman"/>
                <w:szCs w:val="24"/>
                <w:lang w:eastAsia="uk-UA"/>
              </w:rPr>
            </w:pPr>
            <w:r w:rsidRPr="00DF3A77">
              <w:rPr>
                <w:rFonts w:eastAsia="Times New Roman"/>
                <w:szCs w:val="24"/>
                <w:lang w:eastAsia="uk-UA"/>
              </w:rPr>
              <w:t>Позики надані</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c>
          <w:tcPr>
            <w:tcW w:w="1742"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c>
          <w:tcPr>
            <w:tcW w:w="1652"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6</w:t>
            </w:r>
          </w:p>
        </w:tc>
        <w:tc>
          <w:tcPr>
            <w:tcW w:w="2165" w:type="dxa"/>
            <w:shd w:val="clear" w:color="auto" w:fill="auto"/>
          </w:tcPr>
          <w:p w:rsidR="00DF3A77" w:rsidRPr="00DF3A77" w:rsidRDefault="00DF3A77" w:rsidP="00234E51">
            <w:pPr>
              <w:mirrorIndents/>
              <w:outlineLvl w:val="2"/>
              <w:rPr>
                <w:rFonts w:eastAsia="Times New Roman"/>
                <w:bCs/>
                <w:szCs w:val="24"/>
                <w:lang w:eastAsia="uk-UA"/>
              </w:rPr>
            </w:pPr>
            <w:r w:rsidRPr="00DF3A77">
              <w:rPr>
                <w:rFonts w:eastAsia="Times New Roman"/>
                <w:bCs/>
                <w:szCs w:val="24"/>
                <w:lang w:eastAsia="uk-UA"/>
              </w:rPr>
              <w:t>Резерв під сумнівну дебіторську заборгованість</w:t>
            </w:r>
          </w:p>
        </w:tc>
        <w:tc>
          <w:tcPr>
            <w:tcW w:w="1980"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Х</w:t>
            </w:r>
          </w:p>
        </w:tc>
        <w:tc>
          <w:tcPr>
            <w:tcW w:w="1620" w:type="dxa"/>
            <w:shd w:val="clear" w:color="auto" w:fill="auto"/>
          </w:tcPr>
          <w:p w:rsidR="00DF3A77" w:rsidRPr="00DF3A77" w:rsidRDefault="00DF3A77" w:rsidP="00234E51">
            <w:pPr>
              <w:mirrorIndents/>
              <w:jc w:val="both"/>
              <w:rPr>
                <w:rFonts w:eastAsia="Times New Roman"/>
                <w:szCs w:val="24"/>
                <w:lang w:eastAsia="uk-UA"/>
              </w:rPr>
            </w:pP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w:t>
            </w:r>
          </w:p>
        </w:tc>
        <w:tc>
          <w:tcPr>
            <w:tcW w:w="1652" w:type="dxa"/>
            <w:shd w:val="clear" w:color="auto" w:fill="auto"/>
          </w:tcPr>
          <w:p w:rsidR="00DF3A77" w:rsidRPr="00DF3A77" w:rsidRDefault="00DF3A77" w:rsidP="00DF3A77">
            <w:pPr>
              <w:numPr>
                <w:ilvl w:val="0"/>
                <w:numId w:val="3"/>
              </w:numPr>
              <w:mirrorIndents/>
              <w:jc w:val="center"/>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7</w:t>
            </w:r>
          </w:p>
        </w:tc>
        <w:tc>
          <w:tcPr>
            <w:tcW w:w="2165" w:type="dxa"/>
            <w:shd w:val="clear" w:color="auto" w:fill="auto"/>
          </w:tcPr>
          <w:p w:rsidR="00DF3A77" w:rsidRPr="00DF3A77" w:rsidRDefault="00DF3A77" w:rsidP="00234E51">
            <w:pPr>
              <w:mirrorIndents/>
              <w:outlineLvl w:val="2"/>
              <w:rPr>
                <w:rFonts w:eastAsia="Times New Roman"/>
                <w:bCs/>
                <w:szCs w:val="24"/>
                <w:lang w:eastAsia="uk-UA"/>
              </w:rPr>
            </w:pPr>
            <w:r w:rsidRPr="00DF3A77">
              <w:rPr>
                <w:rFonts w:eastAsia="Times New Roman"/>
                <w:bCs/>
                <w:szCs w:val="24"/>
                <w:lang w:eastAsia="uk-UA"/>
              </w:rPr>
              <w:t>Разом</w:t>
            </w:r>
          </w:p>
        </w:tc>
        <w:tc>
          <w:tcPr>
            <w:tcW w:w="1980"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Х</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Х</w:t>
            </w:r>
          </w:p>
        </w:tc>
        <w:tc>
          <w:tcPr>
            <w:tcW w:w="1742" w:type="dxa"/>
            <w:shd w:val="clear" w:color="auto" w:fill="auto"/>
          </w:tcPr>
          <w:p w:rsidR="00DF3A77" w:rsidRPr="00DF3A77" w:rsidRDefault="00033736" w:rsidP="00234E51">
            <w:pPr>
              <w:mirrorIndents/>
              <w:jc w:val="both"/>
              <w:rPr>
                <w:rFonts w:eastAsia="Times New Roman"/>
                <w:szCs w:val="24"/>
                <w:lang w:eastAsia="uk-UA"/>
              </w:rPr>
            </w:pPr>
            <w:r>
              <w:rPr>
                <w:rFonts w:eastAsia="Times New Roman"/>
                <w:szCs w:val="24"/>
                <w:lang w:eastAsia="uk-UA"/>
              </w:rPr>
              <w:t>1024</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1467</w:t>
            </w:r>
          </w:p>
        </w:tc>
      </w:tr>
    </w:tbl>
    <w:p w:rsidR="00DF3A77" w:rsidRPr="00DF3A77" w:rsidRDefault="00DF3A77" w:rsidP="00DF3A77">
      <w:pPr>
        <w:ind w:firstLine="567"/>
        <w:jc w:val="both"/>
        <w:rPr>
          <w:szCs w:val="24"/>
        </w:rPr>
      </w:pPr>
      <w:r w:rsidRPr="00DF3A77">
        <w:rPr>
          <w:bCs/>
          <w:szCs w:val="24"/>
        </w:rPr>
        <w:t xml:space="preserve">Дебіторська заборгованість станом на 31 грудня 2020 року </w:t>
      </w:r>
      <w:r w:rsidRPr="00DF3A77">
        <w:rPr>
          <w:szCs w:val="24"/>
        </w:rPr>
        <w:t>щодо наданих кредитів 1</w:t>
      </w:r>
      <w:r w:rsidR="00033736">
        <w:rPr>
          <w:szCs w:val="24"/>
        </w:rPr>
        <w:t>024</w:t>
      </w:r>
      <w:r w:rsidRPr="00DF3A77">
        <w:rPr>
          <w:szCs w:val="24"/>
        </w:rPr>
        <w:t xml:space="preserve">тис грн.  Потреба в нарахування резерву сумнівних боргів не виникала. </w:t>
      </w:r>
    </w:p>
    <w:p w:rsidR="00DF3A77" w:rsidRPr="00DF3A77" w:rsidRDefault="00DF3A77" w:rsidP="00DF3A77">
      <w:pPr>
        <w:ind w:firstLine="567"/>
        <w:jc w:val="both"/>
        <w:rPr>
          <w:szCs w:val="24"/>
        </w:rPr>
      </w:pPr>
      <w:r w:rsidRPr="00DF3A77">
        <w:rPr>
          <w:szCs w:val="24"/>
        </w:rPr>
        <w:t>Дебіторська заборгованість, по якій минув термін позивної давності на кінець відсутня.</w:t>
      </w:r>
    </w:p>
    <w:p w:rsidR="00DF3A77" w:rsidRPr="00DF3A77" w:rsidRDefault="00DF3A77" w:rsidP="00DF3A77">
      <w:pPr>
        <w:ind w:firstLine="567"/>
        <w:jc w:val="both"/>
        <w:rPr>
          <w:rFonts w:eastAsia="Times New Roman"/>
          <w:szCs w:val="24"/>
          <w:lang w:eastAsia="uk-UA"/>
        </w:rPr>
      </w:pPr>
    </w:p>
    <w:p w:rsidR="00DF3A77" w:rsidRPr="00DF3A77" w:rsidRDefault="00DF3A77" w:rsidP="00DF3A77">
      <w:pPr>
        <w:ind w:firstLine="567"/>
        <w:jc w:val="both"/>
        <w:rPr>
          <w:rFonts w:eastAsia="Times New Roman"/>
          <w:szCs w:val="24"/>
          <w:lang w:eastAsia="uk-UA"/>
        </w:rPr>
      </w:pPr>
      <w:proofErr w:type="spellStart"/>
      <w:r w:rsidRPr="00DF3A77">
        <w:rPr>
          <w:rFonts w:eastAsia="Times New Roman"/>
          <w:szCs w:val="24"/>
          <w:lang w:eastAsia="uk-UA"/>
        </w:rPr>
        <w:t>Перекласифікація</w:t>
      </w:r>
      <w:proofErr w:type="spellEnd"/>
      <w:r w:rsidRPr="00DF3A77">
        <w:rPr>
          <w:rFonts w:eastAsia="Times New Roman"/>
          <w:szCs w:val="24"/>
          <w:lang w:eastAsia="uk-UA"/>
        </w:rPr>
        <w:t xml:space="preserve"> фінансових активів не проводилась. </w:t>
      </w:r>
    </w:p>
    <w:p w:rsidR="00DF3A77" w:rsidRPr="00DF3A77" w:rsidRDefault="00DF3A77" w:rsidP="00DF3A77">
      <w:pPr>
        <w:ind w:firstLine="567"/>
        <w:jc w:val="both"/>
        <w:rPr>
          <w:szCs w:val="24"/>
        </w:rPr>
      </w:pPr>
      <w:r w:rsidRPr="00DF3A77">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693"/>
        <w:gridCol w:w="2552"/>
      </w:tblGrid>
      <w:tr w:rsidR="00DF3A77" w:rsidRPr="00DF3A77" w:rsidTr="00234E51">
        <w:trPr>
          <w:trHeight w:val="562"/>
        </w:trPr>
        <w:tc>
          <w:tcPr>
            <w:tcW w:w="4786" w:type="dxa"/>
            <w:shd w:val="clear" w:color="auto" w:fill="auto"/>
            <w:vAlign w:val="center"/>
          </w:tcPr>
          <w:p w:rsidR="00DF3A77" w:rsidRPr="00DF3A77" w:rsidRDefault="00DF3A77" w:rsidP="00234E51">
            <w:pPr>
              <w:jc w:val="center"/>
              <w:rPr>
                <w:b/>
                <w:szCs w:val="24"/>
              </w:rPr>
            </w:pPr>
            <w:r w:rsidRPr="00DF3A77">
              <w:rPr>
                <w:b/>
                <w:szCs w:val="24"/>
              </w:rPr>
              <w:t>Найменування показника</w:t>
            </w:r>
          </w:p>
        </w:tc>
        <w:tc>
          <w:tcPr>
            <w:tcW w:w="2693" w:type="dxa"/>
            <w:shd w:val="clear" w:color="auto" w:fill="auto"/>
            <w:vAlign w:val="center"/>
          </w:tcPr>
          <w:p w:rsidR="00DF3A77" w:rsidRPr="00DF3A77" w:rsidRDefault="00DF3A77" w:rsidP="00234E51">
            <w:pPr>
              <w:jc w:val="center"/>
              <w:rPr>
                <w:b/>
                <w:szCs w:val="24"/>
              </w:rPr>
            </w:pPr>
            <w:r w:rsidRPr="00DF3A77">
              <w:rPr>
                <w:b/>
                <w:szCs w:val="24"/>
              </w:rPr>
              <w:t>На 31.12.2019 р.</w:t>
            </w:r>
          </w:p>
        </w:tc>
        <w:tc>
          <w:tcPr>
            <w:tcW w:w="2552" w:type="dxa"/>
            <w:shd w:val="clear" w:color="auto" w:fill="auto"/>
            <w:vAlign w:val="center"/>
          </w:tcPr>
          <w:p w:rsidR="00DF3A77" w:rsidRPr="00DF3A77" w:rsidRDefault="00DF3A77" w:rsidP="00234E51">
            <w:pPr>
              <w:jc w:val="center"/>
              <w:rPr>
                <w:b/>
                <w:szCs w:val="24"/>
              </w:rPr>
            </w:pPr>
            <w:r w:rsidRPr="00DF3A77">
              <w:rPr>
                <w:b/>
                <w:szCs w:val="24"/>
              </w:rPr>
              <w:t xml:space="preserve">На </w:t>
            </w:r>
            <w:r w:rsidRPr="00DF3A77">
              <w:rPr>
                <w:rFonts w:eastAsia="Times New Roman"/>
                <w:szCs w:val="24"/>
                <w:lang w:eastAsia="uk-UA"/>
              </w:rPr>
              <w:t>31.12</w:t>
            </w:r>
            <w:r w:rsidRPr="00DF3A77">
              <w:rPr>
                <w:b/>
                <w:szCs w:val="24"/>
              </w:rPr>
              <w:t>.2020 р.</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Дебіторська заборгованість за розрахунками щодо наданих кредитів</w:t>
            </w:r>
          </w:p>
        </w:tc>
        <w:tc>
          <w:tcPr>
            <w:tcW w:w="2693" w:type="dxa"/>
            <w:shd w:val="clear" w:color="auto" w:fill="auto"/>
            <w:vAlign w:val="center"/>
          </w:tcPr>
          <w:p w:rsidR="00DF3A77" w:rsidRPr="00DF3A77" w:rsidRDefault="00DF3A77" w:rsidP="00234E51">
            <w:pPr>
              <w:jc w:val="center"/>
              <w:rPr>
                <w:szCs w:val="24"/>
              </w:rPr>
            </w:pPr>
            <w:r w:rsidRPr="00DF3A77">
              <w:rPr>
                <w:szCs w:val="24"/>
              </w:rPr>
              <w:t>1467</w:t>
            </w:r>
          </w:p>
        </w:tc>
        <w:tc>
          <w:tcPr>
            <w:tcW w:w="2552" w:type="dxa"/>
            <w:shd w:val="clear" w:color="auto" w:fill="auto"/>
            <w:vAlign w:val="center"/>
          </w:tcPr>
          <w:p w:rsidR="00DF3A77" w:rsidRPr="00DF3A77" w:rsidRDefault="00DF3A77" w:rsidP="00033736">
            <w:pPr>
              <w:jc w:val="center"/>
              <w:rPr>
                <w:szCs w:val="24"/>
              </w:rPr>
            </w:pPr>
            <w:r w:rsidRPr="00DF3A77">
              <w:rPr>
                <w:szCs w:val="24"/>
              </w:rPr>
              <w:t>1</w:t>
            </w:r>
            <w:r w:rsidR="00033736">
              <w:rPr>
                <w:szCs w:val="24"/>
              </w:rPr>
              <w:t>024</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Дебіторська заборгованість за розрахунками з бюджетом</w:t>
            </w:r>
          </w:p>
        </w:tc>
        <w:tc>
          <w:tcPr>
            <w:tcW w:w="2693" w:type="dxa"/>
            <w:shd w:val="clear" w:color="auto" w:fill="auto"/>
            <w:vAlign w:val="center"/>
          </w:tcPr>
          <w:p w:rsidR="00DF3A77" w:rsidRPr="00DF3A77" w:rsidRDefault="00DF3A77" w:rsidP="00234E51">
            <w:pPr>
              <w:jc w:val="center"/>
              <w:rPr>
                <w:szCs w:val="24"/>
              </w:rPr>
            </w:pPr>
            <w:r w:rsidRPr="00DF3A77">
              <w:rPr>
                <w:szCs w:val="24"/>
              </w:rPr>
              <w:t>2</w:t>
            </w:r>
          </w:p>
        </w:tc>
        <w:tc>
          <w:tcPr>
            <w:tcW w:w="2552" w:type="dxa"/>
            <w:shd w:val="clear" w:color="auto" w:fill="auto"/>
            <w:vAlign w:val="center"/>
          </w:tcPr>
          <w:p w:rsidR="00DF3A77" w:rsidRPr="00DF3A77" w:rsidRDefault="00DF3A77" w:rsidP="00234E51">
            <w:pPr>
              <w:jc w:val="center"/>
              <w:rPr>
                <w:szCs w:val="24"/>
              </w:rPr>
            </w:pPr>
            <w:r w:rsidRPr="00DF3A77">
              <w:rPr>
                <w:szCs w:val="24"/>
              </w:rPr>
              <w:t>2</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 xml:space="preserve">Інша поточна дебіторська заборгованість </w:t>
            </w:r>
          </w:p>
        </w:tc>
        <w:tc>
          <w:tcPr>
            <w:tcW w:w="2693" w:type="dxa"/>
            <w:shd w:val="clear" w:color="auto" w:fill="auto"/>
          </w:tcPr>
          <w:p w:rsidR="00DF3A77" w:rsidRPr="00DF3A77" w:rsidRDefault="00DF3A77" w:rsidP="00234E51">
            <w:pPr>
              <w:jc w:val="center"/>
              <w:rPr>
                <w:szCs w:val="24"/>
              </w:rPr>
            </w:pPr>
            <w:r w:rsidRPr="00DF3A77">
              <w:rPr>
                <w:szCs w:val="24"/>
              </w:rPr>
              <w:t>-</w:t>
            </w:r>
          </w:p>
        </w:tc>
        <w:tc>
          <w:tcPr>
            <w:tcW w:w="2552" w:type="dxa"/>
            <w:shd w:val="clear" w:color="auto" w:fill="auto"/>
          </w:tcPr>
          <w:p w:rsidR="00DF3A77" w:rsidRPr="00DF3A77" w:rsidRDefault="00DF3A77" w:rsidP="00234E51">
            <w:pPr>
              <w:jc w:val="center"/>
              <w:rPr>
                <w:szCs w:val="24"/>
              </w:rPr>
            </w:pPr>
            <w:r w:rsidRPr="00DF3A77">
              <w:rPr>
                <w:szCs w:val="24"/>
              </w:rPr>
              <w:t>-</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 xml:space="preserve">Довгострокова  дебіторська заборгованість </w:t>
            </w:r>
          </w:p>
        </w:tc>
        <w:tc>
          <w:tcPr>
            <w:tcW w:w="2693" w:type="dxa"/>
            <w:shd w:val="clear" w:color="auto" w:fill="auto"/>
          </w:tcPr>
          <w:p w:rsidR="00DF3A77" w:rsidRPr="00DF3A77" w:rsidRDefault="00DF3A77" w:rsidP="00DF3A77">
            <w:pPr>
              <w:numPr>
                <w:ilvl w:val="0"/>
                <w:numId w:val="3"/>
              </w:numPr>
              <w:jc w:val="center"/>
              <w:rPr>
                <w:szCs w:val="24"/>
              </w:rPr>
            </w:pPr>
          </w:p>
          <w:p w:rsidR="00DF3A77" w:rsidRPr="00DF3A77" w:rsidRDefault="00DF3A77" w:rsidP="00234E51">
            <w:pPr>
              <w:jc w:val="center"/>
              <w:rPr>
                <w:szCs w:val="24"/>
              </w:rPr>
            </w:pPr>
          </w:p>
        </w:tc>
        <w:tc>
          <w:tcPr>
            <w:tcW w:w="2552" w:type="dxa"/>
            <w:shd w:val="clear" w:color="auto" w:fill="auto"/>
          </w:tcPr>
          <w:p w:rsidR="00DF3A77" w:rsidRPr="00DF3A77" w:rsidRDefault="00DF3A77" w:rsidP="00234E51">
            <w:pPr>
              <w:jc w:val="center"/>
              <w:rPr>
                <w:szCs w:val="24"/>
              </w:rPr>
            </w:pPr>
            <w:r w:rsidRPr="00DF3A77">
              <w:rPr>
                <w:szCs w:val="24"/>
              </w:rPr>
              <w:t>_</w:t>
            </w:r>
          </w:p>
          <w:p w:rsidR="00DF3A77" w:rsidRPr="00DF3A77" w:rsidRDefault="00DF3A77" w:rsidP="00234E51">
            <w:pPr>
              <w:jc w:val="center"/>
              <w:rPr>
                <w:szCs w:val="24"/>
              </w:rPr>
            </w:pPr>
          </w:p>
        </w:tc>
      </w:tr>
    </w:tbl>
    <w:p w:rsidR="00DF3A77" w:rsidRDefault="00DF3A77" w:rsidP="00DF3A77">
      <w:pPr>
        <w:jc w:val="both"/>
        <w:rPr>
          <w:rFonts w:eastAsia="Times New Roman"/>
          <w:szCs w:val="24"/>
          <w:lang w:eastAsia="uk-UA"/>
        </w:rPr>
      </w:pPr>
    </w:p>
    <w:p w:rsidR="007602DD" w:rsidRPr="00DF3A77" w:rsidRDefault="007602DD" w:rsidP="00DF3A77">
      <w:pPr>
        <w:jc w:val="both"/>
        <w:rPr>
          <w:rFonts w:eastAsia="Times New Roman"/>
          <w:szCs w:val="24"/>
          <w:lang w:eastAsia="uk-UA"/>
        </w:rPr>
      </w:pPr>
    </w:p>
    <w:p w:rsidR="00DF3A77" w:rsidRPr="007602DD" w:rsidRDefault="00DF3A77" w:rsidP="00DF3A77">
      <w:pPr>
        <w:numPr>
          <w:ilvl w:val="2"/>
          <w:numId w:val="7"/>
        </w:numPr>
        <w:jc w:val="both"/>
        <w:rPr>
          <w:rFonts w:eastAsia="Times New Roman"/>
          <w:b/>
          <w:i/>
          <w:szCs w:val="24"/>
          <w:lang w:eastAsia="uk-UA"/>
        </w:rPr>
      </w:pPr>
      <w:r w:rsidRPr="007602DD">
        <w:rPr>
          <w:rFonts w:eastAsia="Times New Roman"/>
          <w:b/>
          <w:i/>
          <w:szCs w:val="24"/>
          <w:lang w:eastAsia="uk-UA"/>
        </w:rPr>
        <w:t>Фінансові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Зобов'язання Товариства, класифікуються на довгострокові (строк погашення понад 12 місяців) і поточні (термін погашення до 12 місяців).</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 xml:space="preserve">Оцінка довгострокової кредиторської заборгованості ґрунтується на первісній </w:t>
      </w:r>
      <w:r w:rsidRPr="007602DD">
        <w:rPr>
          <w:rFonts w:ascii="Times New Roman" w:hAnsi="Times New Roman" w:cs="Times New Roman"/>
          <w:sz w:val="24"/>
          <w:szCs w:val="24"/>
        </w:rPr>
        <w:lastRenderedPageBreak/>
        <w:t>(справедливій) вартості.</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В звітному періоді довгострокова кредиторська заборгованість відсутня.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Усі зобов’язання товариства можна класифікувати наступним чином:  поточні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Поточні зобов’язання товариства діляться на: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622"/>
        <w:gridCol w:w="2481"/>
      </w:tblGrid>
      <w:tr w:rsidR="00DF3A77" w:rsidRPr="007602DD" w:rsidTr="00234E51">
        <w:trPr>
          <w:trHeight w:val="562"/>
        </w:trPr>
        <w:tc>
          <w:tcPr>
            <w:tcW w:w="4928" w:type="dxa"/>
            <w:shd w:val="clear" w:color="auto" w:fill="auto"/>
            <w:vAlign w:val="center"/>
          </w:tcPr>
          <w:p w:rsidR="00DF3A77" w:rsidRPr="007602DD" w:rsidRDefault="00DF3A77" w:rsidP="00234E51">
            <w:pPr>
              <w:jc w:val="center"/>
              <w:rPr>
                <w:b/>
                <w:szCs w:val="24"/>
              </w:rPr>
            </w:pPr>
            <w:r w:rsidRPr="007602DD">
              <w:rPr>
                <w:b/>
                <w:szCs w:val="24"/>
              </w:rPr>
              <w:t>Найменування показника</w:t>
            </w:r>
          </w:p>
        </w:tc>
        <w:tc>
          <w:tcPr>
            <w:tcW w:w="2622" w:type="dxa"/>
            <w:shd w:val="clear" w:color="auto" w:fill="auto"/>
            <w:vAlign w:val="center"/>
          </w:tcPr>
          <w:p w:rsidR="00DF3A77" w:rsidRPr="007602DD" w:rsidRDefault="00DF3A77" w:rsidP="00234E51">
            <w:pPr>
              <w:jc w:val="center"/>
              <w:rPr>
                <w:b/>
                <w:szCs w:val="24"/>
              </w:rPr>
            </w:pPr>
            <w:r w:rsidRPr="007602DD">
              <w:rPr>
                <w:b/>
                <w:szCs w:val="24"/>
              </w:rPr>
              <w:t xml:space="preserve">На </w:t>
            </w:r>
            <w:r w:rsidRPr="007602DD">
              <w:rPr>
                <w:rFonts w:eastAsia="Times New Roman"/>
                <w:b/>
                <w:szCs w:val="24"/>
                <w:lang w:eastAsia="uk-UA"/>
              </w:rPr>
              <w:t>31.12.2019</w:t>
            </w:r>
            <w:r w:rsidRPr="007602DD">
              <w:rPr>
                <w:b/>
                <w:szCs w:val="24"/>
              </w:rPr>
              <w:t>р.</w:t>
            </w:r>
          </w:p>
        </w:tc>
        <w:tc>
          <w:tcPr>
            <w:tcW w:w="2481" w:type="dxa"/>
            <w:shd w:val="clear" w:color="auto" w:fill="auto"/>
            <w:vAlign w:val="center"/>
          </w:tcPr>
          <w:p w:rsidR="00DF3A77" w:rsidRPr="007602DD" w:rsidRDefault="00DF3A77" w:rsidP="00234E51">
            <w:pPr>
              <w:jc w:val="center"/>
              <w:rPr>
                <w:b/>
                <w:szCs w:val="24"/>
              </w:rPr>
            </w:pPr>
            <w:r w:rsidRPr="007602DD">
              <w:rPr>
                <w:b/>
                <w:szCs w:val="24"/>
              </w:rPr>
              <w:t xml:space="preserve">На </w:t>
            </w:r>
            <w:r w:rsidRPr="007602DD">
              <w:rPr>
                <w:rFonts w:eastAsia="Times New Roman"/>
                <w:b/>
                <w:szCs w:val="24"/>
                <w:lang w:eastAsia="uk-UA"/>
              </w:rPr>
              <w:t>31.12</w:t>
            </w:r>
            <w:r w:rsidRPr="007602DD">
              <w:rPr>
                <w:b/>
                <w:szCs w:val="24"/>
              </w:rPr>
              <w:t>.2020 р.</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товари, роботи, послуги</w:t>
            </w:r>
          </w:p>
        </w:tc>
        <w:tc>
          <w:tcPr>
            <w:tcW w:w="2622" w:type="dxa"/>
            <w:shd w:val="clear" w:color="auto" w:fill="auto"/>
            <w:vAlign w:val="center"/>
          </w:tcPr>
          <w:p w:rsidR="00DF3A77" w:rsidRPr="007602DD" w:rsidRDefault="00DF3A77" w:rsidP="00234E51">
            <w:pPr>
              <w:ind w:right="813"/>
              <w:jc w:val="right"/>
              <w:rPr>
                <w:szCs w:val="24"/>
              </w:rPr>
            </w:pPr>
            <w:r w:rsidRPr="007602DD">
              <w:rPr>
                <w:szCs w:val="24"/>
              </w:rPr>
              <w:t>_</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 бюджетом</w:t>
            </w:r>
          </w:p>
        </w:tc>
        <w:tc>
          <w:tcPr>
            <w:tcW w:w="2622" w:type="dxa"/>
            <w:shd w:val="clear" w:color="auto" w:fill="auto"/>
            <w:vAlign w:val="center"/>
          </w:tcPr>
          <w:p w:rsidR="00DF3A77" w:rsidRPr="007602DD" w:rsidRDefault="00DF3A77" w:rsidP="00234E51">
            <w:pPr>
              <w:ind w:right="813"/>
              <w:jc w:val="right"/>
              <w:rPr>
                <w:szCs w:val="24"/>
                <w:lang w:val="ru-RU"/>
              </w:rPr>
            </w:pPr>
            <w:r w:rsidRPr="007602DD">
              <w:rPr>
                <w:szCs w:val="24"/>
                <w:lang w:val="ru-RU"/>
              </w:rPr>
              <w:t>7</w:t>
            </w:r>
          </w:p>
        </w:tc>
        <w:tc>
          <w:tcPr>
            <w:tcW w:w="2481" w:type="dxa"/>
            <w:shd w:val="clear" w:color="auto" w:fill="auto"/>
            <w:vAlign w:val="center"/>
          </w:tcPr>
          <w:p w:rsidR="00DF3A77" w:rsidRPr="007602DD" w:rsidRDefault="00DF3A77" w:rsidP="00234E51">
            <w:pPr>
              <w:ind w:right="813"/>
              <w:jc w:val="right"/>
              <w:rPr>
                <w:szCs w:val="24"/>
                <w:lang w:val="ru-RU"/>
              </w:rPr>
            </w:pPr>
            <w:r w:rsidRPr="007602DD">
              <w:rPr>
                <w:szCs w:val="24"/>
                <w:lang w:val="ru-RU"/>
              </w:rPr>
              <w:t>29</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зі страхування</w:t>
            </w:r>
          </w:p>
        </w:tc>
        <w:tc>
          <w:tcPr>
            <w:tcW w:w="2622" w:type="dxa"/>
            <w:shd w:val="clear" w:color="auto" w:fill="auto"/>
            <w:vAlign w:val="center"/>
          </w:tcPr>
          <w:p w:rsidR="00DF3A77" w:rsidRPr="007602DD" w:rsidRDefault="00DF3A77" w:rsidP="00234E51">
            <w:pPr>
              <w:ind w:right="813"/>
              <w:jc w:val="right"/>
              <w:rPr>
                <w:szCs w:val="24"/>
                <w:lang w:val="ru-RU"/>
              </w:rPr>
            </w:pPr>
            <w:r w:rsidRPr="007602DD">
              <w:rPr>
                <w:szCs w:val="24"/>
                <w:lang w:val="ru-RU"/>
              </w:rPr>
              <w:t>-</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___</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 оплати праці</w:t>
            </w:r>
          </w:p>
        </w:tc>
        <w:tc>
          <w:tcPr>
            <w:tcW w:w="2622" w:type="dxa"/>
            <w:shd w:val="clear" w:color="auto" w:fill="auto"/>
            <w:vAlign w:val="center"/>
          </w:tcPr>
          <w:p w:rsidR="00DF3A77" w:rsidRPr="007602DD" w:rsidRDefault="00DF3A77" w:rsidP="00234E51">
            <w:pPr>
              <w:ind w:right="813"/>
              <w:jc w:val="right"/>
              <w:rPr>
                <w:szCs w:val="24"/>
              </w:rPr>
            </w:pPr>
            <w:r w:rsidRPr="007602DD">
              <w:rPr>
                <w:szCs w:val="24"/>
              </w:rPr>
              <w:t>___</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___-</w:t>
            </w:r>
          </w:p>
        </w:tc>
      </w:tr>
      <w:tr w:rsidR="00DF3A77" w:rsidRPr="007602DD" w:rsidTr="00234E51">
        <w:tc>
          <w:tcPr>
            <w:tcW w:w="4928" w:type="dxa"/>
            <w:tcBorders>
              <w:bottom w:val="nil"/>
            </w:tcBorders>
            <w:shd w:val="clear" w:color="auto" w:fill="auto"/>
          </w:tcPr>
          <w:p w:rsidR="00DF3A77" w:rsidRPr="007602DD" w:rsidRDefault="00DF3A77" w:rsidP="00234E51">
            <w:pPr>
              <w:rPr>
                <w:szCs w:val="24"/>
              </w:rPr>
            </w:pPr>
            <w:r w:rsidRPr="007602DD">
              <w:rPr>
                <w:szCs w:val="24"/>
              </w:rPr>
              <w:t>Інші поточні зобов’язання, в т.ч.</w:t>
            </w:r>
          </w:p>
          <w:p w:rsidR="00DF3A77" w:rsidRPr="007602DD" w:rsidRDefault="00DF3A77" w:rsidP="00DF3A77">
            <w:pPr>
              <w:pStyle w:val="ab"/>
              <w:numPr>
                <w:ilvl w:val="0"/>
                <w:numId w:val="3"/>
              </w:numPr>
              <w:spacing w:after="0" w:line="240" w:lineRule="auto"/>
              <w:rPr>
                <w:rFonts w:ascii="Times New Roman" w:hAnsi="Times New Roman"/>
                <w:sz w:val="24"/>
                <w:szCs w:val="24"/>
                <w:lang w:val="uk-UA"/>
              </w:rPr>
            </w:pPr>
            <w:r w:rsidRPr="007602DD">
              <w:rPr>
                <w:rFonts w:ascii="Times New Roman" w:hAnsi="Times New Roman"/>
                <w:sz w:val="24"/>
                <w:szCs w:val="24"/>
                <w:lang w:val="uk-UA"/>
              </w:rPr>
              <w:t>поворотна фінансова допомога</w:t>
            </w:r>
          </w:p>
        </w:tc>
        <w:tc>
          <w:tcPr>
            <w:tcW w:w="2622" w:type="dxa"/>
            <w:tcBorders>
              <w:bottom w:val="nil"/>
            </w:tcBorders>
            <w:shd w:val="clear" w:color="auto" w:fill="auto"/>
          </w:tcPr>
          <w:p w:rsidR="00DF3A77" w:rsidRPr="007602DD" w:rsidRDefault="00DF3A77" w:rsidP="00234E51">
            <w:pPr>
              <w:ind w:right="813"/>
              <w:jc w:val="right"/>
              <w:rPr>
                <w:szCs w:val="24"/>
              </w:rPr>
            </w:pPr>
            <w:r w:rsidRPr="007602DD">
              <w:rPr>
                <w:szCs w:val="24"/>
              </w:rPr>
              <w:t>____</w:t>
            </w:r>
          </w:p>
          <w:p w:rsidR="00DF3A77" w:rsidRPr="007602DD" w:rsidRDefault="00DF3A77" w:rsidP="00234E51">
            <w:pPr>
              <w:ind w:right="813"/>
              <w:jc w:val="right"/>
              <w:rPr>
                <w:szCs w:val="24"/>
              </w:rPr>
            </w:pPr>
            <w:r w:rsidRPr="007602DD">
              <w:rPr>
                <w:szCs w:val="24"/>
              </w:rPr>
              <w:t>________</w:t>
            </w:r>
          </w:p>
        </w:tc>
        <w:tc>
          <w:tcPr>
            <w:tcW w:w="2481" w:type="dxa"/>
            <w:tcBorders>
              <w:bottom w:val="nil"/>
            </w:tcBorders>
            <w:shd w:val="clear" w:color="auto" w:fill="auto"/>
          </w:tcPr>
          <w:p w:rsidR="00DF3A77" w:rsidRPr="007602DD" w:rsidRDefault="00DF3A77" w:rsidP="00234E51">
            <w:pPr>
              <w:ind w:right="813"/>
              <w:jc w:val="right"/>
              <w:rPr>
                <w:szCs w:val="24"/>
              </w:rPr>
            </w:pPr>
            <w:r w:rsidRPr="007602DD">
              <w:rPr>
                <w:szCs w:val="24"/>
              </w:rPr>
              <w:t>-</w:t>
            </w:r>
          </w:p>
          <w:p w:rsidR="00DF3A77" w:rsidRPr="007602DD" w:rsidRDefault="00DF3A77" w:rsidP="00234E51">
            <w:pPr>
              <w:ind w:right="813"/>
              <w:jc w:val="right"/>
              <w:rPr>
                <w:szCs w:val="24"/>
              </w:rPr>
            </w:pPr>
            <w:r w:rsidRPr="007602DD">
              <w:rPr>
                <w:szCs w:val="24"/>
              </w:rPr>
              <w:t>-</w:t>
            </w:r>
          </w:p>
        </w:tc>
      </w:tr>
      <w:tr w:rsidR="00DF3A77" w:rsidRPr="007602DD" w:rsidTr="00234E51">
        <w:tc>
          <w:tcPr>
            <w:tcW w:w="4928" w:type="dxa"/>
            <w:tcBorders>
              <w:top w:val="nil"/>
              <w:bottom w:val="single" w:sz="4" w:space="0" w:color="auto"/>
            </w:tcBorders>
            <w:shd w:val="clear" w:color="auto" w:fill="auto"/>
          </w:tcPr>
          <w:p w:rsidR="00DF3A77" w:rsidRPr="007602DD" w:rsidRDefault="00DF3A77" w:rsidP="00234E51">
            <w:pPr>
              <w:ind w:left="360"/>
              <w:rPr>
                <w:szCs w:val="24"/>
              </w:rPr>
            </w:pPr>
            <w:r w:rsidRPr="007602DD">
              <w:rPr>
                <w:szCs w:val="24"/>
              </w:rPr>
              <w:t xml:space="preserve">- розрахунки з іншими кредиторами за іншими </w:t>
            </w:r>
          </w:p>
        </w:tc>
        <w:tc>
          <w:tcPr>
            <w:tcW w:w="2622" w:type="dxa"/>
            <w:tcBorders>
              <w:top w:val="nil"/>
              <w:bottom w:val="single" w:sz="4" w:space="0" w:color="auto"/>
            </w:tcBorders>
            <w:shd w:val="clear" w:color="auto" w:fill="auto"/>
            <w:vAlign w:val="center"/>
          </w:tcPr>
          <w:p w:rsidR="00DF3A77" w:rsidRPr="007602DD" w:rsidRDefault="00DF3A77" w:rsidP="00234E51">
            <w:pPr>
              <w:ind w:right="813"/>
              <w:jc w:val="right"/>
              <w:rPr>
                <w:szCs w:val="24"/>
              </w:rPr>
            </w:pPr>
            <w:r w:rsidRPr="007602DD">
              <w:rPr>
                <w:szCs w:val="24"/>
              </w:rPr>
              <w:t>___</w:t>
            </w:r>
          </w:p>
        </w:tc>
        <w:tc>
          <w:tcPr>
            <w:tcW w:w="2481" w:type="dxa"/>
            <w:tcBorders>
              <w:top w:val="nil"/>
              <w:bottom w:val="single" w:sz="4" w:space="0" w:color="auto"/>
            </w:tcBorders>
            <w:shd w:val="clear" w:color="auto" w:fill="auto"/>
            <w:vAlign w:val="center"/>
          </w:tcPr>
          <w:p w:rsidR="00DF3A77" w:rsidRPr="007602DD" w:rsidRDefault="00DF3A77" w:rsidP="00234E51">
            <w:pPr>
              <w:ind w:right="813"/>
              <w:jc w:val="right"/>
              <w:rPr>
                <w:szCs w:val="24"/>
              </w:rPr>
            </w:pPr>
            <w:r w:rsidRPr="007602DD">
              <w:rPr>
                <w:szCs w:val="24"/>
              </w:rPr>
              <w:t>-</w:t>
            </w:r>
          </w:p>
        </w:tc>
      </w:tr>
    </w:tbl>
    <w:p w:rsidR="00DF3A77" w:rsidRPr="007602DD" w:rsidRDefault="00DF3A77" w:rsidP="00DF3A77">
      <w:pPr>
        <w:autoSpaceDE w:val="0"/>
        <w:ind w:firstLine="600"/>
        <w:jc w:val="both"/>
        <w:rPr>
          <w:szCs w:val="24"/>
        </w:rPr>
      </w:pPr>
      <w:r w:rsidRPr="007602DD">
        <w:rPr>
          <w:szCs w:val="24"/>
        </w:rPr>
        <w:t xml:space="preserve">Станом на 31 грудня 2019 року кредиторська заборгованість була представлена наступним,  заборгованістю перед бюджетом по податку на прибуток в сумі 7 тис </w:t>
      </w:r>
      <w:proofErr w:type="spellStart"/>
      <w:r w:rsidRPr="007602DD">
        <w:rPr>
          <w:szCs w:val="24"/>
        </w:rPr>
        <w:t>грн</w:t>
      </w:r>
      <w:proofErr w:type="spellEnd"/>
      <w:r w:rsidRPr="007602DD">
        <w:rPr>
          <w:szCs w:val="24"/>
        </w:rPr>
        <w:t>; на 31.12.2020 року – 29 тис. грн..</w:t>
      </w:r>
    </w:p>
    <w:p w:rsidR="00DF3A77" w:rsidRPr="007602DD" w:rsidRDefault="00DF3A77" w:rsidP="00DF3A77">
      <w:pPr>
        <w:pStyle w:val="13"/>
        <w:shd w:val="clear" w:color="auto" w:fill="auto"/>
        <w:spacing w:before="0" w:after="0" w:line="240" w:lineRule="auto"/>
        <w:ind w:firstLine="600"/>
        <w:jc w:val="both"/>
        <w:rPr>
          <w:rFonts w:ascii="Times New Roman" w:hAnsi="Times New Roman" w:cs="Times New Roman"/>
          <w:sz w:val="24"/>
          <w:szCs w:val="24"/>
        </w:rPr>
      </w:pPr>
      <w:r w:rsidRPr="007602DD">
        <w:rPr>
          <w:rFonts w:ascii="Times New Roman" w:hAnsi="Times New Roman" w:cs="Times New Roman"/>
          <w:sz w:val="24"/>
          <w:szCs w:val="24"/>
        </w:rPr>
        <w:t>Товариство очікує погашення вищевказаної заборгованості протягом 2021 року.</w:t>
      </w:r>
    </w:p>
    <w:p w:rsidR="00DF3A77" w:rsidRPr="007602DD" w:rsidRDefault="00DF3A77" w:rsidP="00DF3A77">
      <w:pPr>
        <w:ind w:firstLine="600"/>
        <w:jc w:val="both"/>
        <w:rPr>
          <w:b/>
          <w:bCs/>
          <w:szCs w:val="24"/>
        </w:rPr>
      </w:pPr>
    </w:p>
    <w:p w:rsidR="00DF3A77" w:rsidRPr="007602DD" w:rsidRDefault="00DF3A77" w:rsidP="00DF3A77">
      <w:pPr>
        <w:ind w:firstLine="600"/>
        <w:contextualSpacing/>
        <w:jc w:val="both"/>
        <w:rPr>
          <w:szCs w:val="24"/>
        </w:rPr>
      </w:pPr>
      <w:r w:rsidRPr="007602DD">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DF3A77" w:rsidRPr="007602DD" w:rsidRDefault="00DF3A77" w:rsidP="00DF3A77">
      <w:pPr>
        <w:ind w:firstLine="600"/>
        <w:contextualSpacing/>
        <w:jc w:val="both"/>
        <w:rPr>
          <w:rFonts w:eastAsia="Times New Roman"/>
          <w:b/>
          <w:szCs w:val="24"/>
          <w:lang w:eastAsia="uk-UA"/>
        </w:rPr>
      </w:pPr>
    </w:p>
    <w:p w:rsidR="00DF3A77" w:rsidRPr="007602DD" w:rsidRDefault="00DF3A77" w:rsidP="00DF3A77">
      <w:pPr>
        <w:numPr>
          <w:ilvl w:val="1"/>
          <w:numId w:val="7"/>
        </w:numPr>
        <w:ind w:firstLine="600"/>
        <w:contextualSpacing/>
        <w:jc w:val="both"/>
        <w:rPr>
          <w:b/>
          <w:i/>
          <w:szCs w:val="24"/>
        </w:rPr>
      </w:pPr>
      <w:r w:rsidRPr="007602DD">
        <w:rPr>
          <w:b/>
          <w:i/>
          <w:szCs w:val="24"/>
        </w:rPr>
        <w:t>Грошові кошти та їх еквіваленти</w:t>
      </w:r>
    </w:p>
    <w:p w:rsidR="00DF3A77" w:rsidRPr="007602DD" w:rsidRDefault="00DF3A77" w:rsidP="00DF3A77">
      <w:pPr>
        <w:ind w:firstLine="600"/>
        <w:jc w:val="both"/>
        <w:rPr>
          <w:szCs w:val="24"/>
        </w:rPr>
      </w:pPr>
      <w:r w:rsidRPr="007602DD">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w:t>
      </w:r>
    </w:p>
    <w:p w:rsidR="00DF3A77" w:rsidRPr="007602DD" w:rsidRDefault="00DF3A77" w:rsidP="00DF3A77">
      <w:pPr>
        <w:ind w:firstLine="600"/>
        <w:contextualSpacing/>
        <w:jc w:val="both"/>
        <w:rPr>
          <w:szCs w:val="24"/>
        </w:rPr>
      </w:pPr>
      <w:r w:rsidRPr="007602DD">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вартістю, яка дорівнює їх номінальній вартості. Застосовується ринковий метод оцінки. Вихідними даними є офіційні курси НБУ. </w:t>
      </w:r>
      <w:r w:rsidRPr="007602DD">
        <w:rPr>
          <w:bCs/>
          <w:szCs w:val="24"/>
        </w:rPr>
        <w:t>Рівень ієрархії справедливої вартості, до якого належать оцінки справедливої вартості – перший (</w:t>
      </w:r>
      <w:r w:rsidRPr="007602DD">
        <w:rPr>
          <w:szCs w:val="24"/>
        </w:rPr>
        <w:t xml:space="preserve"> спостережувані)</w:t>
      </w:r>
    </w:p>
    <w:p w:rsidR="00DF3A77" w:rsidRPr="007602DD" w:rsidRDefault="00DF3A77" w:rsidP="00DF3A77">
      <w:pPr>
        <w:autoSpaceDE w:val="0"/>
        <w:ind w:firstLine="600"/>
        <w:jc w:val="both"/>
        <w:rPr>
          <w:szCs w:val="24"/>
        </w:rPr>
      </w:pPr>
      <w:r w:rsidRPr="007602DD">
        <w:rPr>
          <w:szCs w:val="24"/>
        </w:rPr>
        <w:t>Станом на 31 грудня 2020 року грошові кошти були представлені наступним чином:</w:t>
      </w:r>
    </w:p>
    <w:p w:rsidR="00DF3A77" w:rsidRPr="007602DD" w:rsidRDefault="00DF3A77" w:rsidP="00DF3A77">
      <w:pPr>
        <w:autoSpaceDE w:val="0"/>
        <w:ind w:firstLine="600"/>
        <w:jc w:val="both"/>
        <w:rPr>
          <w:szCs w:val="24"/>
        </w:rPr>
      </w:pPr>
    </w:p>
    <w:tbl>
      <w:tblPr>
        <w:tblW w:w="9923" w:type="dxa"/>
        <w:tblInd w:w="108" w:type="dxa"/>
        <w:tblLayout w:type="fixed"/>
        <w:tblLook w:val="0000"/>
      </w:tblPr>
      <w:tblGrid>
        <w:gridCol w:w="4820"/>
        <w:gridCol w:w="2409"/>
        <w:gridCol w:w="2694"/>
      </w:tblGrid>
      <w:tr w:rsidR="00DF3A77" w:rsidRPr="007602DD" w:rsidTr="00234E51">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DF3A77" w:rsidRPr="007602DD" w:rsidRDefault="00DF3A77" w:rsidP="00234E51">
            <w:pPr>
              <w:snapToGrid w:val="0"/>
              <w:jc w:val="both"/>
              <w:rPr>
                <w:b/>
                <w:bCs/>
                <w:color w:val="000000"/>
                <w:szCs w:val="24"/>
              </w:rPr>
            </w:pPr>
            <w:r w:rsidRPr="007602DD">
              <w:rPr>
                <w:b/>
                <w:bCs/>
                <w:color w:val="000000"/>
                <w:szCs w:val="24"/>
              </w:rPr>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3A77" w:rsidRPr="007602DD" w:rsidRDefault="00DF3A77" w:rsidP="00234E51">
            <w:pPr>
              <w:snapToGrid w:val="0"/>
              <w:jc w:val="both"/>
              <w:rPr>
                <w:b/>
                <w:bCs/>
                <w:color w:val="000000"/>
                <w:szCs w:val="24"/>
              </w:rPr>
            </w:pPr>
            <w:r w:rsidRPr="007602DD">
              <w:rPr>
                <w:b/>
                <w:szCs w:val="24"/>
              </w:rPr>
              <w:t>31 грудня 2019 року</w:t>
            </w:r>
          </w:p>
        </w:tc>
        <w:tc>
          <w:tcPr>
            <w:tcW w:w="2694" w:type="dxa"/>
            <w:tcBorders>
              <w:top w:val="single" w:sz="4" w:space="0" w:color="000000"/>
              <w:left w:val="single" w:sz="4" w:space="0" w:color="000000"/>
              <w:bottom w:val="single" w:sz="4" w:space="0" w:color="000000"/>
              <w:right w:val="single" w:sz="4" w:space="0" w:color="000000"/>
            </w:tcBorders>
          </w:tcPr>
          <w:p w:rsidR="00DF3A77" w:rsidRPr="007602DD" w:rsidRDefault="00DF3A77" w:rsidP="00234E51">
            <w:pPr>
              <w:snapToGrid w:val="0"/>
              <w:jc w:val="both"/>
              <w:rPr>
                <w:b/>
                <w:bCs/>
                <w:color w:val="000000"/>
                <w:szCs w:val="24"/>
              </w:rPr>
            </w:pPr>
            <w:r w:rsidRPr="007602DD">
              <w:rPr>
                <w:b/>
                <w:szCs w:val="24"/>
              </w:rPr>
              <w:t>31 грудня 2020 року</w:t>
            </w:r>
          </w:p>
        </w:tc>
      </w:tr>
      <w:tr w:rsidR="00DF3A77" w:rsidRPr="007602DD" w:rsidTr="00234E51">
        <w:trPr>
          <w:trHeight w:val="300"/>
        </w:trPr>
        <w:tc>
          <w:tcPr>
            <w:tcW w:w="4820" w:type="dxa"/>
            <w:tcBorders>
              <w:left w:val="single" w:sz="4" w:space="0" w:color="000000"/>
              <w:bottom w:val="single" w:sz="4" w:space="0" w:color="000000"/>
            </w:tcBorders>
            <w:shd w:val="clear" w:color="auto" w:fill="auto"/>
            <w:vAlign w:val="bottom"/>
          </w:tcPr>
          <w:p w:rsidR="00DF3A77" w:rsidRPr="007602DD" w:rsidRDefault="00DF3A77" w:rsidP="00234E51">
            <w:pPr>
              <w:snapToGrid w:val="0"/>
              <w:jc w:val="both"/>
              <w:rPr>
                <w:color w:val="000000"/>
                <w:szCs w:val="24"/>
              </w:rPr>
            </w:pPr>
            <w:r w:rsidRPr="007602DD">
              <w:rPr>
                <w:color w:val="000000"/>
                <w:szCs w:val="24"/>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tcPr>
          <w:p w:rsidR="00DF3A77" w:rsidRPr="007602DD" w:rsidRDefault="00DF3A77" w:rsidP="00234E51">
            <w:pPr>
              <w:snapToGrid w:val="0"/>
              <w:jc w:val="both"/>
              <w:rPr>
                <w:color w:val="000000"/>
                <w:szCs w:val="24"/>
              </w:rPr>
            </w:pPr>
            <w:r w:rsidRPr="007602DD">
              <w:rPr>
                <w:color w:val="000000"/>
                <w:szCs w:val="24"/>
              </w:rPr>
              <w:t>237</w:t>
            </w:r>
          </w:p>
        </w:tc>
        <w:tc>
          <w:tcPr>
            <w:tcW w:w="2694" w:type="dxa"/>
            <w:tcBorders>
              <w:left w:val="single" w:sz="4" w:space="0" w:color="000000"/>
              <w:bottom w:val="single" w:sz="4" w:space="0" w:color="000000"/>
              <w:right w:val="single" w:sz="4" w:space="0" w:color="000000"/>
            </w:tcBorders>
          </w:tcPr>
          <w:p w:rsidR="00DF3A77" w:rsidRPr="007602DD" w:rsidRDefault="00DF3A77" w:rsidP="00234E51">
            <w:pPr>
              <w:snapToGrid w:val="0"/>
              <w:jc w:val="both"/>
              <w:rPr>
                <w:color w:val="000000"/>
                <w:szCs w:val="24"/>
              </w:rPr>
            </w:pPr>
            <w:r w:rsidRPr="007602DD">
              <w:rPr>
                <w:color w:val="000000"/>
                <w:szCs w:val="24"/>
              </w:rPr>
              <w:t>10</w:t>
            </w:r>
          </w:p>
        </w:tc>
      </w:tr>
      <w:tr w:rsidR="00DF3A77" w:rsidRPr="007602DD" w:rsidTr="00234E51">
        <w:trPr>
          <w:trHeight w:val="300"/>
        </w:trPr>
        <w:tc>
          <w:tcPr>
            <w:tcW w:w="4820" w:type="dxa"/>
            <w:tcBorders>
              <w:left w:val="single" w:sz="4" w:space="0" w:color="000000"/>
              <w:bottom w:val="single" w:sz="4" w:space="0" w:color="000000"/>
            </w:tcBorders>
            <w:shd w:val="clear" w:color="auto" w:fill="auto"/>
            <w:vAlign w:val="bottom"/>
          </w:tcPr>
          <w:p w:rsidR="00DF3A77" w:rsidRPr="007602DD" w:rsidRDefault="00DF3A77" w:rsidP="00234E51">
            <w:pPr>
              <w:snapToGrid w:val="0"/>
              <w:jc w:val="both"/>
              <w:rPr>
                <w:color w:val="000000"/>
                <w:szCs w:val="24"/>
              </w:rPr>
            </w:pPr>
            <w:r w:rsidRPr="007602DD">
              <w:rPr>
                <w:color w:val="000000"/>
                <w:szCs w:val="24"/>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tcPr>
          <w:p w:rsidR="00DF3A77" w:rsidRPr="007602DD" w:rsidRDefault="00DF3A77" w:rsidP="00234E51">
            <w:pPr>
              <w:snapToGrid w:val="0"/>
              <w:jc w:val="both"/>
              <w:rPr>
                <w:szCs w:val="24"/>
              </w:rPr>
            </w:pPr>
            <w:r w:rsidRPr="007602DD">
              <w:rPr>
                <w:szCs w:val="24"/>
              </w:rPr>
              <w:t>13</w:t>
            </w:r>
          </w:p>
        </w:tc>
        <w:tc>
          <w:tcPr>
            <w:tcW w:w="2694" w:type="dxa"/>
            <w:tcBorders>
              <w:left w:val="single" w:sz="4" w:space="0" w:color="000000"/>
              <w:bottom w:val="single" w:sz="4" w:space="0" w:color="000000"/>
              <w:right w:val="single" w:sz="4" w:space="0" w:color="000000"/>
            </w:tcBorders>
          </w:tcPr>
          <w:p w:rsidR="00DF3A77" w:rsidRPr="007602DD" w:rsidRDefault="00DF3A77" w:rsidP="00234E51">
            <w:pPr>
              <w:snapToGrid w:val="0"/>
              <w:jc w:val="both"/>
              <w:rPr>
                <w:szCs w:val="24"/>
              </w:rPr>
            </w:pPr>
            <w:r w:rsidRPr="007602DD">
              <w:rPr>
                <w:szCs w:val="24"/>
              </w:rPr>
              <w:t>6</w:t>
            </w:r>
          </w:p>
        </w:tc>
      </w:tr>
      <w:tr w:rsidR="00DF3A77" w:rsidRPr="007602DD" w:rsidTr="00234E51">
        <w:trPr>
          <w:trHeight w:val="315"/>
        </w:trPr>
        <w:tc>
          <w:tcPr>
            <w:tcW w:w="4820" w:type="dxa"/>
            <w:tcBorders>
              <w:left w:val="single" w:sz="4" w:space="0" w:color="000000"/>
              <w:bottom w:val="single" w:sz="4" w:space="0" w:color="000000"/>
            </w:tcBorders>
            <w:shd w:val="clear" w:color="auto" w:fill="auto"/>
            <w:vAlign w:val="bottom"/>
          </w:tcPr>
          <w:p w:rsidR="00DF3A77" w:rsidRPr="007602DD" w:rsidRDefault="00DF3A77" w:rsidP="00234E51">
            <w:pPr>
              <w:snapToGrid w:val="0"/>
              <w:jc w:val="both"/>
              <w:rPr>
                <w:b/>
                <w:bCs/>
                <w:color w:val="000000"/>
                <w:szCs w:val="24"/>
              </w:rPr>
            </w:pPr>
            <w:r w:rsidRPr="007602DD">
              <w:rPr>
                <w:b/>
                <w:bCs/>
                <w:color w:val="000000"/>
                <w:szCs w:val="24"/>
              </w:rPr>
              <w:t>Всього</w:t>
            </w:r>
          </w:p>
        </w:tc>
        <w:tc>
          <w:tcPr>
            <w:tcW w:w="2409" w:type="dxa"/>
            <w:tcBorders>
              <w:left w:val="single" w:sz="4" w:space="0" w:color="000000"/>
              <w:bottom w:val="single" w:sz="4" w:space="0" w:color="000000"/>
              <w:right w:val="single" w:sz="4" w:space="0" w:color="000000"/>
            </w:tcBorders>
            <w:shd w:val="clear" w:color="auto" w:fill="auto"/>
          </w:tcPr>
          <w:p w:rsidR="00DF3A77" w:rsidRPr="007602DD" w:rsidRDefault="00DF3A77" w:rsidP="00234E51">
            <w:pPr>
              <w:snapToGrid w:val="0"/>
              <w:jc w:val="both"/>
              <w:rPr>
                <w:b/>
                <w:szCs w:val="24"/>
              </w:rPr>
            </w:pPr>
            <w:r w:rsidRPr="007602DD">
              <w:rPr>
                <w:b/>
                <w:szCs w:val="24"/>
              </w:rPr>
              <w:t>250</w:t>
            </w:r>
          </w:p>
        </w:tc>
        <w:tc>
          <w:tcPr>
            <w:tcW w:w="2694" w:type="dxa"/>
            <w:tcBorders>
              <w:left w:val="single" w:sz="4" w:space="0" w:color="000000"/>
              <w:bottom w:val="single" w:sz="4" w:space="0" w:color="000000"/>
              <w:right w:val="single" w:sz="4" w:space="0" w:color="000000"/>
            </w:tcBorders>
          </w:tcPr>
          <w:p w:rsidR="00DF3A77" w:rsidRPr="007602DD" w:rsidRDefault="00DF3A77" w:rsidP="00234E51">
            <w:pPr>
              <w:snapToGrid w:val="0"/>
              <w:jc w:val="both"/>
              <w:rPr>
                <w:b/>
                <w:szCs w:val="24"/>
              </w:rPr>
            </w:pPr>
            <w:r w:rsidRPr="007602DD">
              <w:rPr>
                <w:b/>
                <w:szCs w:val="24"/>
              </w:rPr>
              <w:t>16</w:t>
            </w:r>
          </w:p>
        </w:tc>
      </w:tr>
    </w:tbl>
    <w:p w:rsidR="007602DD" w:rsidRDefault="007602DD" w:rsidP="007602DD">
      <w:pPr>
        <w:ind w:left="567"/>
        <w:jc w:val="both"/>
        <w:rPr>
          <w:b/>
          <w:szCs w:val="24"/>
        </w:rPr>
      </w:pPr>
    </w:p>
    <w:p w:rsidR="00DF3A77" w:rsidRPr="007602DD" w:rsidRDefault="00DF3A77" w:rsidP="00DF3A77">
      <w:pPr>
        <w:numPr>
          <w:ilvl w:val="1"/>
          <w:numId w:val="7"/>
        </w:numPr>
        <w:ind w:left="0" w:firstLine="567"/>
        <w:jc w:val="both"/>
        <w:rPr>
          <w:b/>
          <w:szCs w:val="24"/>
        </w:rPr>
      </w:pPr>
      <w:r w:rsidRPr="007602DD">
        <w:rPr>
          <w:b/>
          <w:szCs w:val="24"/>
        </w:rPr>
        <w:t xml:space="preserve">Облік власного капіталу. </w:t>
      </w:r>
    </w:p>
    <w:p w:rsidR="00DF3A77" w:rsidRPr="007602DD" w:rsidRDefault="00DF3A77" w:rsidP="007602DD">
      <w:pPr>
        <w:ind w:left="-142" w:right="-283" w:firstLine="426"/>
        <w:jc w:val="both"/>
        <w:rPr>
          <w:szCs w:val="24"/>
        </w:rPr>
      </w:pPr>
      <w:r w:rsidRPr="007602DD">
        <w:rPr>
          <w:szCs w:val="24"/>
        </w:rPr>
        <w:t>Розмір статутного капіталу складає 1000 тис. грн. Статутний капітал сформований та сплачений своєчасно, в повному обсязі. Збільшення чи зменшення статутного капіталу не проводилося.</w:t>
      </w:r>
    </w:p>
    <w:p w:rsidR="00DF3A77" w:rsidRPr="007602DD" w:rsidRDefault="00DF3A77" w:rsidP="007602DD">
      <w:pPr>
        <w:ind w:left="-142" w:right="-283" w:firstLine="426"/>
        <w:jc w:val="both"/>
        <w:rPr>
          <w:szCs w:val="24"/>
        </w:rPr>
      </w:pPr>
      <w:r w:rsidRPr="007602DD">
        <w:rPr>
          <w:szCs w:val="24"/>
        </w:rPr>
        <w:t xml:space="preserve"> Резервний капітал - 7 тис. грн. </w:t>
      </w:r>
    </w:p>
    <w:p w:rsidR="00DF3A77" w:rsidRPr="007602DD" w:rsidRDefault="00DF3A77" w:rsidP="007602DD">
      <w:pPr>
        <w:ind w:left="-142" w:right="-283" w:firstLine="426"/>
        <w:jc w:val="both"/>
        <w:rPr>
          <w:szCs w:val="24"/>
        </w:rPr>
      </w:pPr>
      <w:r w:rsidRPr="007602DD">
        <w:rPr>
          <w:szCs w:val="24"/>
        </w:rPr>
        <w:lastRenderedPageBreak/>
        <w:t>Прибуток отриманий в 2020 році склав 131 тис грн..</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w:t>
      </w:r>
      <w:r w:rsidR="007602DD" w:rsidRPr="007602DD">
        <w:rPr>
          <w:szCs w:val="24"/>
        </w:rPr>
        <w:t xml:space="preserve">   </w:t>
      </w:r>
      <w:r w:rsidRPr="007602DD">
        <w:rPr>
          <w:szCs w:val="24"/>
        </w:rPr>
        <w:t>Поточні зобов’язання на звітну дату відображено за сумою погашення.</w:t>
      </w:r>
    </w:p>
    <w:p w:rsidR="00DF3A77" w:rsidRPr="007602DD" w:rsidRDefault="00DF3A77" w:rsidP="007602DD">
      <w:pPr>
        <w:ind w:left="-142" w:right="-283" w:firstLine="426"/>
        <w:jc w:val="both"/>
        <w:rPr>
          <w:b/>
          <w:szCs w:val="24"/>
        </w:rPr>
      </w:pPr>
    </w:p>
    <w:p w:rsidR="00DF3A77" w:rsidRPr="007602DD" w:rsidRDefault="00DF3A77" w:rsidP="007602DD">
      <w:pPr>
        <w:ind w:left="-142" w:right="-283" w:firstLine="426"/>
        <w:jc w:val="both"/>
        <w:rPr>
          <w:b/>
          <w:szCs w:val="24"/>
        </w:rPr>
      </w:pPr>
      <w:r w:rsidRPr="007602DD">
        <w:rPr>
          <w:b/>
          <w:szCs w:val="24"/>
        </w:rPr>
        <w:t>7. Інше.</w:t>
      </w:r>
    </w:p>
    <w:p w:rsidR="00DF3A77" w:rsidRPr="007602DD" w:rsidRDefault="00DF3A77" w:rsidP="007602DD">
      <w:pPr>
        <w:ind w:left="-142" w:right="-283" w:firstLine="426"/>
        <w:jc w:val="both"/>
        <w:rPr>
          <w:szCs w:val="24"/>
        </w:rPr>
      </w:pPr>
      <w:r w:rsidRPr="007602DD">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 та помилок.</w:t>
      </w:r>
    </w:p>
    <w:p w:rsidR="00DF3A77" w:rsidRPr="007602DD" w:rsidRDefault="00DF3A77" w:rsidP="007602DD">
      <w:pPr>
        <w:tabs>
          <w:tab w:val="left" w:pos="567"/>
        </w:tabs>
        <w:ind w:left="-142" w:right="-283" w:firstLine="426"/>
        <w:contextualSpacing/>
        <w:jc w:val="both"/>
        <w:rPr>
          <w:szCs w:val="24"/>
        </w:rPr>
      </w:pPr>
      <w:r w:rsidRPr="007602DD">
        <w:rPr>
          <w:szCs w:val="24"/>
        </w:rPr>
        <w:t>Керівництво ломбарду несе відповідальність за нагляд за процесом звітування компанії.</w:t>
      </w:r>
    </w:p>
    <w:p w:rsidR="00DF3A77" w:rsidRPr="007602DD" w:rsidRDefault="00DF3A77" w:rsidP="007602DD">
      <w:pPr>
        <w:ind w:left="-142" w:right="-283" w:firstLine="426"/>
        <w:contextualSpacing/>
        <w:jc w:val="both"/>
        <w:rPr>
          <w:rStyle w:val="FontStyle51"/>
          <w:sz w:val="24"/>
          <w:szCs w:val="24"/>
        </w:rPr>
      </w:pPr>
      <w:r w:rsidRPr="007602DD">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 звітності, включаючи її достовірне подання.</w:t>
      </w:r>
    </w:p>
    <w:p w:rsidR="00DF3A77" w:rsidRPr="007602DD" w:rsidRDefault="00DF3A77" w:rsidP="007602DD">
      <w:pPr>
        <w:ind w:left="-142" w:right="-283" w:firstLine="426"/>
        <w:contextualSpacing/>
        <w:jc w:val="both"/>
        <w:rPr>
          <w:szCs w:val="24"/>
        </w:rPr>
      </w:pPr>
      <w:r w:rsidRPr="007602DD">
        <w:rPr>
          <w:szCs w:val="24"/>
        </w:rPr>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DF3A77" w:rsidRPr="007602DD" w:rsidRDefault="00DF3A77" w:rsidP="007602DD">
      <w:pPr>
        <w:ind w:left="-142" w:right="-283" w:firstLine="426"/>
        <w:contextualSpacing/>
        <w:jc w:val="both"/>
        <w:rPr>
          <w:i/>
          <w:szCs w:val="24"/>
        </w:rPr>
      </w:pPr>
      <w:r w:rsidRPr="007602DD">
        <w:rPr>
          <w:i/>
          <w:szCs w:val="24"/>
        </w:rPr>
        <w:t>Безперервність.</w:t>
      </w:r>
    </w:p>
    <w:p w:rsidR="00DF3A77" w:rsidRPr="007602DD" w:rsidRDefault="00DF3A77" w:rsidP="007602DD">
      <w:pPr>
        <w:ind w:left="-142" w:right="-283" w:firstLine="426"/>
        <w:contextualSpacing/>
        <w:jc w:val="both"/>
        <w:rPr>
          <w:color w:val="000000"/>
          <w:szCs w:val="24"/>
          <w:shd w:val="clear" w:color="auto" w:fill="FFFFFF"/>
        </w:rPr>
      </w:pPr>
      <w:r w:rsidRPr="007602DD">
        <w:rPr>
          <w:szCs w:val="24"/>
        </w:rPr>
        <w:t>Дана фінансова звітність складена виходячи з принципу безперервності функціонування товариства в майбутньому.</w:t>
      </w:r>
    </w:p>
    <w:p w:rsidR="00DF3A77" w:rsidRPr="007602DD" w:rsidRDefault="00DF3A77" w:rsidP="007602DD">
      <w:pPr>
        <w:ind w:left="-142" w:right="-283" w:firstLine="426"/>
        <w:contextualSpacing/>
        <w:jc w:val="both"/>
        <w:rPr>
          <w:rStyle w:val="FontStyle51"/>
          <w:sz w:val="24"/>
          <w:szCs w:val="24"/>
        </w:rPr>
      </w:pPr>
      <w:r w:rsidRPr="007602DD">
        <w:rPr>
          <w:rStyle w:val="FontStyle51"/>
          <w:sz w:val="24"/>
          <w:szCs w:val="24"/>
        </w:rPr>
        <w:t xml:space="preserve">Виходячи з специфіки нашого бізнесу, а саме, надання коштів в позику, в нових економічних умовах пандемії корона вірусної інфекції, застосувавши жорстку політику економії та скорочення витрат, ми плануємо утримати досягнуті обсяги кредитування. </w:t>
      </w:r>
    </w:p>
    <w:p w:rsidR="00DF3A77" w:rsidRPr="007602DD" w:rsidRDefault="00DF3A77" w:rsidP="007602DD">
      <w:pPr>
        <w:ind w:left="-142" w:right="-283" w:firstLine="426"/>
        <w:contextualSpacing/>
        <w:jc w:val="both"/>
        <w:rPr>
          <w:rStyle w:val="FontStyle51"/>
          <w:sz w:val="24"/>
          <w:szCs w:val="24"/>
        </w:rPr>
      </w:pPr>
      <w:r w:rsidRPr="007602DD">
        <w:rPr>
          <w:color w:val="000000"/>
          <w:szCs w:val="24"/>
          <w:shd w:val="clear" w:color="auto" w:fill="FFFFFF"/>
        </w:rPr>
        <w:t xml:space="preserve">Ми маємо намір розвиватись, нарощувати обсяги кредитування, збільшувати кількість відділень. </w:t>
      </w:r>
      <w:r w:rsidRPr="007602DD">
        <w:rPr>
          <w:rStyle w:val="FontStyle51"/>
          <w:sz w:val="24"/>
          <w:szCs w:val="24"/>
        </w:rPr>
        <w:t xml:space="preserve">Керівництво товариства вважає що не існує  невизначеності, що стосується безперервності діяльності, ми маємо намір працювати в </w:t>
      </w:r>
      <w:r w:rsidR="007F0E1C" w:rsidRPr="007602DD">
        <w:rPr>
          <w:rStyle w:val="FontStyle51"/>
          <w:sz w:val="24"/>
          <w:szCs w:val="24"/>
        </w:rPr>
        <w:t>д</w:t>
      </w:r>
      <w:r w:rsidRPr="007602DD">
        <w:rPr>
          <w:rStyle w:val="FontStyle51"/>
          <w:sz w:val="24"/>
          <w:szCs w:val="24"/>
        </w:rPr>
        <w:t>осяжному майбутньому.</w:t>
      </w:r>
    </w:p>
    <w:p w:rsidR="00DF3A77" w:rsidRPr="007602DD" w:rsidRDefault="00DF3A77" w:rsidP="007602DD">
      <w:pPr>
        <w:ind w:left="-142" w:right="-283" w:firstLine="426"/>
        <w:jc w:val="both"/>
        <w:rPr>
          <w:i/>
          <w:szCs w:val="24"/>
        </w:rPr>
      </w:pPr>
      <w:r w:rsidRPr="007602DD">
        <w:rPr>
          <w:i/>
          <w:szCs w:val="24"/>
        </w:rPr>
        <w:t>Операції із пов’язаними сторонами</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Ломбардом або разом з ним перебувають під контролем третьої особи.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Протягом звітного року Ломбард мав операції з пов'язаними сторонами, а саме,  виплачувалась заробітна плата згідно штатного розкладу посадовим особам, директору та головному бухгалтеру, та утримувались податки з заробітної плати.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i/>
          <w:szCs w:val="24"/>
        </w:rPr>
        <w:t>Заробітна плата</w:t>
      </w:r>
      <w:r w:rsidRPr="007602DD">
        <w:rPr>
          <w:szCs w:val="24"/>
        </w:rPr>
        <w:t>.</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Нарахування заробітної  плат</w:t>
      </w:r>
      <w:r w:rsidRPr="007602DD">
        <w:rPr>
          <w:szCs w:val="24"/>
          <w:lang w:val="ru-RU"/>
        </w:rPr>
        <w:t>и</w:t>
      </w:r>
      <w:r w:rsidRPr="007602DD">
        <w:rPr>
          <w:szCs w:val="24"/>
        </w:rPr>
        <w:t xml:space="preserve"> персоналу Ломбарду протягом 2020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Пенсійними програмами товариство не користується. Резерви забезпечення майбутніх витрат і платежів пов’язаних з оплатою праці не нараховувались.</w:t>
      </w:r>
    </w:p>
    <w:p w:rsidR="00DF3A77" w:rsidRPr="007602DD" w:rsidRDefault="00DF3A77" w:rsidP="007602DD">
      <w:pPr>
        <w:tabs>
          <w:tab w:val="left" w:pos="0"/>
        </w:tabs>
        <w:autoSpaceDE w:val="0"/>
        <w:autoSpaceDN w:val="0"/>
        <w:adjustRightInd w:val="0"/>
        <w:ind w:left="-142" w:right="-283" w:firstLine="426"/>
        <w:jc w:val="both"/>
        <w:rPr>
          <w:i/>
          <w:szCs w:val="24"/>
        </w:rPr>
      </w:pPr>
      <w:r w:rsidRPr="007602DD">
        <w:rPr>
          <w:i/>
          <w:szCs w:val="24"/>
        </w:rPr>
        <w:t>Події після дати балансу.</w:t>
      </w:r>
    </w:p>
    <w:p w:rsidR="007F0E1C" w:rsidRPr="007602DD" w:rsidRDefault="007F0E1C" w:rsidP="007602DD">
      <w:pPr>
        <w:ind w:left="-142" w:right="-283" w:firstLine="426"/>
        <w:jc w:val="both"/>
        <w:rPr>
          <w:szCs w:val="24"/>
        </w:rPr>
      </w:pPr>
      <w:r w:rsidRPr="007602DD">
        <w:rPr>
          <w:szCs w:val="24"/>
        </w:rPr>
        <w:t>В період між датою балансу та остаточною датою затвердження фінансової звітності до випуску, не відбулось інших суттєвих подій, крім викладених в Примітці 5,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w:t>
      </w:r>
    </w:p>
    <w:p w:rsidR="007F0E1C" w:rsidRPr="007602DD" w:rsidRDefault="007F0E1C" w:rsidP="007602DD">
      <w:pPr>
        <w:widowControl w:val="0"/>
        <w:tabs>
          <w:tab w:val="left" w:pos="0"/>
        </w:tabs>
        <w:autoSpaceDE w:val="0"/>
        <w:autoSpaceDN w:val="0"/>
        <w:adjustRightInd w:val="0"/>
        <w:ind w:left="-142" w:right="-283" w:firstLine="426"/>
        <w:jc w:val="both"/>
        <w:rPr>
          <w:rFonts w:eastAsia="SimSun"/>
          <w:kern w:val="16"/>
          <w:szCs w:val="24"/>
        </w:rPr>
      </w:pPr>
      <w:r w:rsidRPr="007602DD">
        <w:rPr>
          <w:rFonts w:eastAsia="SimSun"/>
          <w:kern w:val="16"/>
          <w:szCs w:val="24"/>
        </w:rPr>
        <w:t>Відповідно до засад, визначених МСБО 10 «Події після звітного періоду» щодо подій після дати балансу, події що потребують коригування активів та зобов’язань Ломбарду відсутні.</w:t>
      </w:r>
    </w:p>
    <w:p w:rsidR="00DF3A77" w:rsidRPr="007602DD" w:rsidRDefault="00DF3A77" w:rsidP="007602DD">
      <w:pPr>
        <w:ind w:left="-142" w:right="-283" w:firstLine="426"/>
        <w:rPr>
          <w:szCs w:val="24"/>
        </w:rPr>
      </w:pPr>
    </w:p>
    <w:p w:rsidR="00DF3A77" w:rsidRPr="007602DD" w:rsidRDefault="00DF3A77" w:rsidP="007602DD">
      <w:pPr>
        <w:ind w:left="-142" w:right="-283" w:firstLine="426"/>
        <w:rPr>
          <w:szCs w:val="24"/>
        </w:rPr>
      </w:pPr>
      <w:r w:rsidRPr="007602DD">
        <w:rPr>
          <w:szCs w:val="24"/>
        </w:rPr>
        <w:t>Директор</w:t>
      </w:r>
      <w:r w:rsidRPr="007602DD">
        <w:rPr>
          <w:szCs w:val="24"/>
        </w:rPr>
        <w:tab/>
      </w:r>
      <w:r w:rsidRPr="007602DD">
        <w:rPr>
          <w:szCs w:val="24"/>
        </w:rPr>
        <w:tab/>
      </w:r>
      <w:r w:rsidRPr="007602DD">
        <w:rPr>
          <w:szCs w:val="24"/>
        </w:rPr>
        <w:tab/>
      </w:r>
      <w:r w:rsidRPr="007602DD">
        <w:rPr>
          <w:szCs w:val="24"/>
        </w:rPr>
        <w:tab/>
      </w:r>
      <w:r w:rsidRPr="007602DD">
        <w:rPr>
          <w:szCs w:val="24"/>
        </w:rPr>
        <w:tab/>
      </w:r>
      <w:r w:rsidRPr="007602DD">
        <w:rPr>
          <w:szCs w:val="24"/>
        </w:rPr>
        <w:tab/>
      </w:r>
      <w:r w:rsidR="00EA6E43">
        <w:rPr>
          <w:szCs w:val="24"/>
        </w:rPr>
        <w:t xml:space="preserve">            </w:t>
      </w:r>
      <w:proofErr w:type="spellStart"/>
      <w:r w:rsidRPr="007602DD">
        <w:rPr>
          <w:szCs w:val="24"/>
        </w:rPr>
        <w:t>Соколенко</w:t>
      </w:r>
      <w:proofErr w:type="spellEnd"/>
      <w:r w:rsidRPr="007602DD">
        <w:rPr>
          <w:szCs w:val="24"/>
        </w:rPr>
        <w:t xml:space="preserve"> Н.О.</w:t>
      </w:r>
    </w:p>
    <w:p w:rsidR="00DF3A77" w:rsidRPr="007602DD" w:rsidRDefault="00DF3A77" w:rsidP="007602DD">
      <w:pPr>
        <w:ind w:left="-142" w:right="-283" w:firstLine="426"/>
        <w:rPr>
          <w:szCs w:val="24"/>
        </w:rPr>
      </w:pPr>
    </w:p>
    <w:p w:rsidR="00DF3A77" w:rsidRPr="007602DD" w:rsidRDefault="00DF3A77" w:rsidP="007602DD">
      <w:pPr>
        <w:ind w:left="-142" w:right="-283" w:firstLine="426"/>
        <w:rPr>
          <w:szCs w:val="24"/>
        </w:rPr>
      </w:pPr>
      <w:r w:rsidRPr="007602DD">
        <w:rPr>
          <w:szCs w:val="24"/>
        </w:rPr>
        <w:t>Головний бухгалтер</w:t>
      </w:r>
      <w:r w:rsidRPr="007602DD">
        <w:rPr>
          <w:szCs w:val="24"/>
        </w:rPr>
        <w:tab/>
      </w:r>
      <w:r w:rsidRPr="007602DD">
        <w:rPr>
          <w:szCs w:val="24"/>
        </w:rPr>
        <w:tab/>
      </w:r>
      <w:r w:rsidRPr="007602DD">
        <w:rPr>
          <w:szCs w:val="24"/>
        </w:rPr>
        <w:tab/>
      </w:r>
      <w:r w:rsidRPr="007602DD">
        <w:rPr>
          <w:szCs w:val="24"/>
        </w:rPr>
        <w:tab/>
      </w:r>
      <w:r w:rsidRPr="007602DD">
        <w:rPr>
          <w:szCs w:val="24"/>
        </w:rPr>
        <w:tab/>
      </w:r>
      <w:proofErr w:type="spellStart"/>
      <w:r w:rsidRPr="007602DD">
        <w:rPr>
          <w:szCs w:val="24"/>
        </w:rPr>
        <w:t>Соколенко</w:t>
      </w:r>
      <w:proofErr w:type="spellEnd"/>
      <w:r w:rsidRPr="007602DD">
        <w:rPr>
          <w:szCs w:val="24"/>
        </w:rPr>
        <w:t xml:space="preserve"> А.Л.</w:t>
      </w:r>
    </w:p>
    <w:p w:rsidR="00F4443E" w:rsidRDefault="00F4443E" w:rsidP="00DF3A77">
      <w:pPr>
        <w:ind w:firstLine="567"/>
        <w:rPr>
          <w:szCs w:val="24"/>
        </w:rPr>
      </w:pPr>
    </w:p>
    <w:p w:rsidR="00234E51" w:rsidRPr="00DF3A77" w:rsidRDefault="00DF3A77" w:rsidP="00F4443E">
      <w:pPr>
        <w:ind w:firstLine="567"/>
        <w:rPr>
          <w:szCs w:val="24"/>
        </w:rPr>
      </w:pPr>
      <w:r w:rsidRPr="007602DD">
        <w:rPr>
          <w:szCs w:val="24"/>
        </w:rPr>
        <w:t>МП</w:t>
      </w:r>
      <w:r w:rsidR="007602DD" w:rsidRPr="007602DD">
        <w:rPr>
          <w:szCs w:val="24"/>
        </w:rPr>
        <w:t xml:space="preserve">                 </w:t>
      </w:r>
      <w:r w:rsidRPr="007602DD">
        <w:rPr>
          <w:szCs w:val="24"/>
        </w:rPr>
        <w:t>15 лютого 2021 року</w:t>
      </w:r>
    </w:p>
    <w:sectPr w:rsidR="00234E51" w:rsidRPr="00DF3A77" w:rsidSect="00234E51">
      <w:pgSz w:w="11906" w:h="16838"/>
      <w:pgMar w:top="709"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anklin Gothic Book">
    <w:altName w:val="Corbel"/>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NTTimes/Cyril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1">
    <w:nsid w:val="080E220F"/>
    <w:multiLevelType w:val="multilevel"/>
    <w:tmpl w:val="B372C212"/>
    <w:lvl w:ilvl="0">
      <w:start w:val="2"/>
      <w:numFmt w:val="bullet"/>
      <w:lvlText w:val="-"/>
      <w:lvlJc w:val="left"/>
      <w:pPr>
        <w:tabs>
          <w:tab w:val="num" w:pos="0"/>
        </w:tabs>
        <w:suppressAutoHyphens/>
        <w:ind w:left="0" w:firstLine="0"/>
      </w:pPr>
      <w:rPr>
        <w:rFonts w:ascii="Times New Roman" w:eastAsia="Times New Roman" w:hAnsi="Times New Roman" w:cs="Times New Roman" w:hint="default"/>
        <w:color w:val="000000"/>
        <w:sz w:val="20"/>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CEA62BD"/>
    <w:multiLevelType w:val="hybridMultilevel"/>
    <w:tmpl w:val="E020A90A"/>
    <w:lvl w:ilvl="0" w:tplc="159EC4D0">
      <w:numFmt w:val="bullet"/>
      <w:lvlText w:val="-"/>
      <w:lvlJc w:val="left"/>
      <w:pPr>
        <w:ind w:left="720" w:hanging="360"/>
      </w:pPr>
      <w:rPr>
        <w:rFonts w:ascii="Times New Roman" w:eastAsia="Calibri" w:hAnsi="Times New Roman" w:cs="Times New Roman" w:hint="default"/>
      </w:rPr>
    </w:lvl>
    <w:lvl w:ilvl="1" w:tplc="FD0AECE4" w:tentative="1">
      <w:start w:val="1"/>
      <w:numFmt w:val="bullet"/>
      <w:lvlText w:val="o"/>
      <w:lvlJc w:val="left"/>
      <w:pPr>
        <w:ind w:left="1440" w:hanging="360"/>
      </w:pPr>
      <w:rPr>
        <w:rFonts w:ascii="Courier New" w:hAnsi="Courier New" w:cs="Courier New" w:hint="default"/>
      </w:rPr>
    </w:lvl>
    <w:lvl w:ilvl="2" w:tplc="A20040FC" w:tentative="1">
      <w:start w:val="1"/>
      <w:numFmt w:val="bullet"/>
      <w:lvlText w:val=""/>
      <w:lvlJc w:val="left"/>
      <w:pPr>
        <w:ind w:left="2160" w:hanging="360"/>
      </w:pPr>
      <w:rPr>
        <w:rFonts w:ascii="Wingdings" w:hAnsi="Wingdings" w:hint="default"/>
      </w:rPr>
    </w:lvl>
    <w:lvl w:ilvl="3" w:tplc="6A628B48" w:tentative="1">
      <w:start w:val="1"/>
      <w:numFmt w:val="bullet"/>
      <w:lvlText w:val=""/>
      <w:lvlJc w:val="left"/>
      <w:pPr>
        <w:ind w:left="2880" w:hanging="360"/>
      </w:pPr>
      <w:rPr>
        <w:rFonts w:ascii="Symbol" w:hAnsi="Symbol" w:hint="default"/>
      </w:rPr>
    </w:lvl>
    <w:lvl w:ilvl="4" w:tplc="D9AC4FE0" w:tentative="1">
      <w:start w:val="1"/>
      <w:numFmt w:val="bullet"/>
      <w:lvlText w:val="o"/>
      <w:lvlJc w:val="left"/>
      <w:pPr>
        <w:ind w:left="3600" w:hanging="360"/>
      </w:pPr>
      <w:rPr>
        <w:rFonts w:ascii="Courier New" w:hAnsi="Courier New" w:cs="Courier New" w:hint="default"/>
      </w:rPr>
    </w:lvl>
    <w:lvl w:ilvl="5" w:tplc="B0683D32" w:tentative="1">
      <w:start w:val="1"/>
      <w:numFmt w:val="bullet"/>
      <w:lvlText w:val=""/>
      <w:lvlJc w:val="left"/>
      <w:pPr>
        <w:ind w:left="4320" w:hanging="360"/>
      </w:pPr>
      <w:rPr>
        <w:rFonts w:ascii="Wingdings" w:hAnsi="Wingdings" w:hint="default"/>
      </w:rPr>
    </w:lvl>
    <w:lvl w:ilvl="6" w:tplc="0FC202BC" w:tentative="1">
      <w:start w:val="1"/>
      <w:numFmt w:val="bullet"/>
      <w:lvlText w:val=""/>
      <w:lvlJc w:val="left"/>
      <w:pPr>
        <w:ind w:left="5040" w:hanging="360"/>
      </w:pPr>
      <w:rPr>
        <w:rFonts w:ascii="Symbol" w:hAnsi="Symbol" w:hint="default"/>
      </w:rPr>
    </w:lvl>
    <w:lvl w:ilvl="7" w:tplc="283E4A4C" w:tentative="1">
      <w:start w:val="1"/>
      <w:numFmt w:val="bullet"/>
      <w:lvlText w:val="o"/>
      <w:lvlJc w:val="left"/>
      <w:pPr>
        <w:ind w:left="5760" w:hanging="360"/>
      </w:pPr>
      <w:rPr>
        <w:rFonts w:ascii="Courier New" w:hAnsi="Courier New" w:cs="Courier New" w:hint="default"/>
      </w:rPr>
    </w:lvl>
    <w:lvl w:ilvl="8" w:tplc="A41C2EB4" w:tentative="1">
      <w:start w:val="1"/>
      <w:numFmt w:val="bullet"/>
      <w:lvlText w:val=""/>
      <w:lvlJc w:val="left"/>
      <w:pPr>
        <w:ind w:left="6480" w:hanging="360"/>
      </w:pPr>
      <w:rPr>
        <w:rFonts w:ascii="Wingdings" w:hAnsi="Wingdings" w:hint="default"/>
      </w:rPr>
    </w:lvl>
  </w:abstractNum>
  <w:abstractNum w:abstractNumId="5">
    <w:nsid w:val="53D26407"/>
    <w:multiLevelType w:val="hybridMultilevel"/>
    <w:tmpl w:val="E6D63882"/>
    <w:lvl w:ilvl="0" w:tplc="777433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7">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B50D2"/>
    <w:multiLevelType w:val="hybridMultilevel"/>
    <w:tmpl w:val="C258493A"/>
    <w:lvl w:ilvl="0" w:tplc="04220005">
      <w:start w:val="1"/>
      <w:numFmt w:val="decimal"/>
      <w:lvlText w:val="%1."/>
      <w:lvlJc w:val="left"/>
      <w:pPr>
        <w:ind w:left="1069" w:hanging="360"/>
      </w:pPr>
      <w:rPr>
        <w:rFonts w:hint="default"/>
      </w:rPr>
    </w:lvl>
    <w:lvl w:ilvl="1" w:tplc="04220003" w:tentative="1">
      <w:start w:val="1"/>
      <w:numFmt w:val="lowerLetter"/>
      <w:lvlText w:val="%2."/>
      <w:lvlJc w:val="left"/>
      <w:pPr>
        <w:ind w:left="1789" w:hanging="360"/>
      </w:pPr>
    </w:lvl>
    <w:lvl w:ilvl="2" w:tplc="04220005" w:tentative="1">
      <w:start w:val="1"/>
      <w:numFmt w:val="lowerRoman"/>
      <w:lvlText w:val="%3."/>
      <w:lvlJc w:val="right"/>
      <w:pPr>
        <w:ind w:left="2509" w:hanging="180"/>
      </w:pPr>
    </w:lvl>
    <w:lvl w:ilvl="3" w:tplc="04220001" w:tentative="1">
      <w:start w:val="1"/>
      <w:numFmt w:val="decimal"/>
      <w:lvlText w:val="%4."/>
      <w:lvlJc w:val="left"/>
      <w:pPr>
        <w:ind w:left="3229" w:hanging="360"/>
      </w:pPr>
    </w:lvl>
    <w:lvl w:ilvl="4" w:tplc="04220003" w:tentative="1">
      <w:start w:val="1"/>
      <w:numFmt w:val="lowerLetter"/>
      <w:lvlText w:val="%5."/>
      <w:lvlJc w:val="left"/>
      <w:pPr>
        <w:ind w:left="3949" w:hanging="360"/>
      </w:pPr>
    </w:lvl>
    <w:lvl w:ilvl="5" w:tplc="04220005" w:tentative="1">
      <w:start w:val="1"/>
      <w:numFmt w:val="lowerRoman"/>
      <w:lvlText w:val="%6."/>
      <w:lvlJc w:val="right"/>
      <w:pPr>
        <w:ind w:left="4669" w:hanging="180"/>
      </w:pPr>
    </w:lvl>
    <w:lvl w:ilvl="6" w:tplc="04220001" w:tentative="1">
      <w:start w:val="1"/>
      <w:numFmt w:val="decimal"/>
      <w:lvlText w:val="%7."/>
      <w:lvlJc w:val="left"/>
      <w:pPr>
        <w:ind w:left="5389" w:hanging="360"/>
      </w:pPr>
    </w:lvl>
    <w:lvl w:ilvl="7" w:tplc="04220003" w:tentative="1">
      <w:start w:val="1"/>
      <w:numFmt w:val="lowerLetter"/>
      <w:lvlText w:val="%8."/>
      <w:lvlJc w:val="left"/>
      <w:pPr>
        <w:ind w:left="6109" w:hanging="360"/>
      </w:pPr>
    </w:lvl>
    <w:lvl w:ilvl="8" w:tplc="04220005" w:tentative="1">
      <w:start w:val="1"/>
      <w:numFmt w:val="lowerRoman"/>
      <w:lvlText w:val="%9."/>
      <w:lvlJc w:val="right"/>
      <w:pPr>
        <w:ind w:left="6829" w:hanging="180"/>
      </w:pPr>
    </w:lvl>
  </w:abstractNum>
  <w:abstractNum w:abstractNumId="10">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6"/>
  </w:num>
  <w:num w:numId="5">
    <w:abstractNumId w:val="10"/>
  </w:num>
  <w:num w:numId="6">
    <w:abstractNumId w:val="12"/>
  </w:num>
  <w:num w:numId="7">
    <w:abstractNumId w:val="11"/>
  </w:num>
  <w:num w:numId="8">
    <w:abstractNumId w:val="8"/>
  </w:num>
  <w:num w:numId="9">
    <w:abstractNumId w:val="1"/>
  </w:num>
  <w:num w:numId="10">
    <w:abstractNumId w:val="5"/>
  </w:num>
  <w:num w:numId="11">
    <w:abstractNumId w:val="3"/>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3A77"/>
    <w:rsid w:val="00033736"/>
    <w:rsid w:val="0010663E"/>
    <w:rsid w:val="00234E51"/>
    <w:rsid w:val="00331FFC"/>
    <w:rsid w:val="003367B6"/>
    <w:rsid w:val="00393E9C"/>
    <w:rsid w:val="006C2791"/>
    <w:rsid w:val="007602DD"/>
    <w:rsid w:val="007F0E1C"/>
    <w:rsid w:val="00867FEF"/>
    <w:rsid w:val="008F72AD"/>
    <w:rsid w:val="00A425B8"/>
    <w:rsid w:val="00A9141D"/>
    <w:rsid w:val="00AC07F2"/>
    <w:rsid w:val="00AF0092"/>
    <w:rsid w:val="00AF741D"/>
    <w:rsid w:val="00B225D3"/>
    <w:rsid w:val="00B804B2"/>
    <w:rsid w:val="00B81B58"/>
    <w:rsid w:val="00B912C4"/>
    <w:rsid w:val="00C27DD2"/>
    <w:rsid w:val="00CC74D1"/>
    <w:rsid w:val="00CE1063"/>
    <w:rsid w:val="00D13822"/>
    <w:rsid w:val="00DC594A"/>
    <w:rsid w:val="00DF3A77"/>
    <w:rsid w:val="00E96C4E"/>
    <w:rsid w:val="00EA6E43"/>
    <w:rsid w:val="00EC5A5F"/>
    <w:rsid w:val="00F4443E"/>
    <w:rsid w:val="00F60B1E"/>
    <w:rsid w:val="00FA0FAE"/>
    <w:rsid w:val="00FE6A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hgalteria.com.ua/Dopinform/nak73_zm62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790E-5F72-4D1C-A8FB-3BF6BC3A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Pages>
  <Words>42787</Words>
  <Characters>24389</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2021-04-08T08:30:00Z</dcterms:created>
  <dcterms:modified xsi:type="dcterms:W3CDTF">2021-04-08T11:48:00Z</dcterms:modified>
</cp:coreProperties>
</file>